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9758F" w14:textId="77777777" w:rsidR="00BE0DA4" w:rsidRDefault="009F7031">
      <w:pPr>
        <w:spacing w:after="80"/>
      </w:pPr>
      <w:r>
        <w:rPr>
          <w:rFonts w:ascii="Times" w:hAnsi="Times" w:cs="Times"/>
          <w:sz w:val="34"/>
        </w:rPr>
        <w:t>Developmental Behavior Checklist 2</w:t>
      </w:r>
    </w:p>
    <w:p w14:paraId="7BEFDD04" w14:textId="77777777" w:rsidR="00BE0DA4" w:rsidRDefault="009F7031">
      <w:pPr>
        <w:spacing w:before="460" w:after="300"/>
      </w:pPr>
      <w:r>
        <w:rPr>
          <w:rFonts w:ascii="Times" w:hAnsi="Times" w:cs="Times"/>
          <w:b/>
          <w:color w:val="333333"/>
          <w:sz w:val="24"/>
        </w:rPr>
        <w:t>Full Text</w:t>
      </w:r>
    </w:p>
    <w:p w14:paraId="3BFEDC36" w14:textId="77777777" w:rsidR="00BE0DA4" w:rsidRDefault="009F7031" w:rsidP="002C59F1">
      <w:pPr>
        <w:tabs>
          <w:tab w:val="left" w:pos="1470"/>
        </w:tabs>
        <w:spacing w:before="460" w:after="300"/>
        <w:ind w:right="160"/>
      </w:pPr>
      <w:r>
        <w:rPr>
          <w:rFonts w:ascii="Times" w:hAnsi="Times" w:cs="Times"/>
          <w:color w:val="005BC6"/>
          <w:sz w:val="20"/>
        </w:rPr>
        <w:t>Listen</w:t>
      </w:r>
      <w:r w:rsidR="002C59F1">
        <w:rPr>
          <w:rFonts w:ascii="Times" w:hAnsi="Times" w:cs="Times"/>
          <w:color w:val="005BC6"/>
          <w:sz w:val="20"/>
        </w:rPr>
        <w:tab/>
      </w:r>
    </w:p>
    <w:p w14:paraId="3B52E3E7" w14:textId="77777777" w:rsidR="00BE0DA4" w:rsidRDefault="009F7031">
      <w:pPr>
        <w:spacing w:before="460" w:after="300"/>
      </w:pPr>
      <w:r>
        <w:rPr>
          <w:rFonts w:ascii="Times" w:hAnsi="Times" w:cs="Times"/>
          <w:i/>
          <w:color w:val="595959"/>
          <w:sz w:val="20"/>
        </w:rPr>
        <w:t>Review of the Developmental Behavior Checklist 2 by RYAN J. KETTLER, Associate Professor, Rutgers University, New Brunswick, NJ, and LEAH DEMBITZER, Assistant Professor, Concordia College New York, Bronxville, NY:</w:t>
      </w:r>
    </w:p>
    <w:p w14:paraId="75FDD80D" w14:textId="77777777" w:rsidR="00BE0DA4" w:rsidRDefault="00BE0DA4">
      <w:pPr>
        <w:spacing w:before="460" w:after="300"/>
      </w:pPr>
    </w:p>
    <w:p w14:paraId="26566156" w14:textId="77777777" w:rsidR="00BE0DA4" w:rsidRDefault="009F7031">
      <w:pPr>
        <w:spacing w:before="460" w:after="300"/>
      </w:pPr>
      <w:r>
        <w:rPr>
          <w:rFonts w:ascii="Times" w:hAnsi="Times" w:cs="Times"/>
          <w:color w:val="595959"/>
          <w:sz w:val="20"/>
        </w:rPr>
        <w:t>DESCRIPTION. The Developmental Behavior C</w:t>
      </w:r>
      <w:r>
        <w:rPr>
          <w:rFonts w:ascii="Times" w:hAnsi="Times" w:cs="Times"/>
          <w:color w:val="595959"/>
          <w:sz w:val="20"/>
        </w:rPr>
        <w:t>hecklist 2 (DBC2) is a rating scale that assesses emotional and behavioral difficulties in individuals with intellectual and developmental disabilities (IDD). The measure contains three forms: (a) the DBC2-P for parents and caregivers of individuals ages 4</w:t>
      </w:r>
      <w:r>
        <w:rPr>
          <w:rFonts w:ascii="Times" w:hAnsi="Times" w:cs="Times"/>
          <w:color w:val="595959"/>
          <w:sz w:val="20"/>
        </w:rPr>
        <w:t xml:space="preserve"> to 18, (b) the DBC2-T for teachers of individuals ages 4 to 18, and (c) the DBC2-A for adults who are rating other adults ages 18 and older. There is some variation in the number of items per form, from 94 items on the DBC2-T to 107 items on the DBC2-A; a</w:t>
      </w:r>
      <w:r>
        <w:rPr>
          <w:rFonts w:ascii="Times" w:hAnsi="Times" w:cs="Times"/>
          <w:color w:val="595959"/>
          <w:sz w:val="20"/>
        </w:rPr>
        <w:t xml:space="preserve">ll items are rated on a 3-point scale. The test yields a Total Score and five subscale scores in the form of T scores that take into account the categories of IDD (i.e., mild, moderate, severe, profound). In addition, each form contains “flagged” critical </w:t>
      </w:r>
      <w:r>
        <w:rPr>
          <w:rFonts w:ascii="Times" w:hAnsi="Times" w:cs="Times"/>
          <w:color w:val="595959"/>
          <w:sz w:val="20"/>
        </w:rPr>
        <w:t>items. For the child versions, the five subscales are Disruptive, Self-Absorbed, Communication Disturbance, Anxiety, and Social Relating. For the adult version, the subscales are Disruptive, Communication and Anxiety Disturbance, Self-Absorbed, Depressive,</w:t>
      </w:r>
      <w:r>
        <w:rPr>
          <w:rFonts w:ascii="Times" w:hAnsi="Times" w:cs="Times"/>
          <w:color w:val="595959"/>
          <w:sz w:val="20"/>
        </w:rPr>
        <w:t xml:space="preserve"> and Social Relating. In addition, three scores provide information about the range and intensity of the difficulties: Mean Item Score, Proportion of Items Checked, and Intensity Score.</w:t>
      </w:r>
    </w:p>
    <w:p w14:paraId="5AE0E866" w14:textId="77777777" w:rsidR="00BE0DA4" w:rsidRDefault="00BE0DA4">
      <w:pPr>
        <w:spacing w:before="460" w:after="300"/>
      </w:pPr>
    </w:p>
    <w:p w14:paraId="014067D3" w14:textId="77777777" w:rsidR="00BE0DA4" w:rsidRDefault="009F7031">
      <w:pPr>
        <w:spacing w:before="460" w:after="300"/>
      </w:pPr>
      <w:r>
        <w:rPr>
          <w:rFonts w:ascii="Times" w:hAnsi="Times" w:cs="Times"/>
          <w:color w:val="595959"/>
          <w:sz w:val="20"/>
        </w:rPr>
        <w:t>The test authors provide examples of some applications of the DBC2 in</w:t>
      </w:r>
      <w:r>
        <w:rPr>
          <w:rFonts w:ascii="Times" w:hAnsi="Times" w:cs="Times"/>
          <w:color w:val="595959"/>
          <w:sz w:val="20"/>
        </w:rPr>
        <w:t>cluding (a) to complement an initial assessment in a clinical setting, (b) for use as a pre- and post-measure for intervention monitoring, (c) to provide standardized documentation of behavior for service planning purposes, and (d) for use as a screening t</w:t>
      </w:r>
      <w:r>
        <w:rPr>
          <w:rFonts w:ascii="Times" w:hAnsi="Times" w:cs="Times"/>
          <w:color w:val="595959"/>
          <w:sz w:val="20"/>
        </w:rPr>
        <w:t>ool to identify individuals at risk for emotional and behavioral difficulties.</w:t>
      </w:r>
    </w:p>
    <w:p w14:paraId="1EDBCA2B" w14:textId="77777777" w:rsidR="00BE0DA4" w:rsidRDefault="00BE0DA4">
      <w:pPr>
        <w:spacing w:before="460" w:after="300"/>
      </w:pPr>
    </w:p>
    <w:p w14:paraId="70E79628" w14:textId="77777777" w:rsidR="00BE0DA4" w:rsidRDefault="009F7031">
      <w:pPr>
        <w:spacing w:before="460" w:after="300"/>
      </w:pPr>
      <w:r>
        <w:rPr>
          <w:rFonts w:ascii="Times" w:hAnsi="Times" w:cs="Times"/>
          <w:color w:val="595959"/>
          <w:sz w:val="20"/>
        </w:rPr>
        <w:t>Administration. The DBC2 is administered electronically on the test publisher’s online platform or on paper. Administration is untimed and is generally completed within 20 minu</w:t>
      </w:r>
      <w:r>
        <w:rPr>
          <w:rFonts w:ascii="Times" w:hAnsi="Times" w:cs="Times"/>
          <w:color w:val="595959"/>
          <w:sz w:val="20"/>
        </w:rPr>
        <w:t>tes. The professional manual provides instructions for administration and guidelines for interpreting the results and cautions that the DBC2 is intended for use by practitioners in mental health or related fields with relevant assessment qualifications.</w:t>
      </w:r>
    </w:p>
    <w:p w14:paraId="7F786D42" w14:textId="77777777" w:rsidR="00BE0DA4" w:rsidRDefault="00BE0DA4">
      <w:pPr>
        <w:spacing w:before="460" w:after="300"/>
      </w:pPr>
    </w:p>
    <w:p w14:paraId="4A0474C9" w14:textId="77777777" w:rsidR="00BE0DA4" w:rsidRDefault="009F7031">
      <w:pPr>
        <w:spacing w:before="460" w:after="300"/>
      </w:pPr>
      <w:r>
        <w:rPr>
          <w:rFonts w:ascii="Times" w:hAnsi="Times" w:cs="Times"/>
          <w:color w:val="595959"/>
          <w:sz w:val="20"/>
        </w:rPr>
        <w:t>S</w:t>
      </w:r>
      <w:r>
        <w:rPr>
          <w:rFonts w:ascii="Times" w:hAnsi="Times" w:cs="Times"/>
          <w:color w:val="595959"/>
          <w:sz w:val="20"/>
        </w:rPr>
        <w:t xml:space="preserve">coring. The DBC2 is scored online, and a score report is generated automatically. Raw scores, T scores, and ranges of concern are provided for the Total Score and the subscales. A 95% confidence interval and clinical cutoff score </w:t>
      </w:r>
      <w:r>
        <w:rPr>
          <w:rFonts w:ascii="Times" w:hAnsi="Times" w:cs="Times"/>
          <w:color w:val="595959"/>
          <w:sz w:val="20"/>
        </w:rPr>
        <w:lastRenderedPageBreak/>
        <w:t>are provided for the Total</w:t>
      </w:r>
      <w:r>
        <w:rPr>
          <w:rFonts w:ascii="Times" w:hAnsi="Times" w:cs="Times"/>
          <w:color w:val="595959"/>
          <w:sz w:val="20"/>
        </w:rPr>
        <w:t xml:space="preserve"> Score. All T scores also are presented on a plotted chart, and flagged items that have been endorsed are listed along with the Mean Item Score, Proportion of Items Checked, and Intensity Score. There is an option to generate a report for monitoring progre</w:t>
      </w:r>
      <w:r>
        <w:rPr>
          <w:rFonts w:ascii="Times" w:hAnsi="Times" w:cs="Times"/>
          <w:color w:val="595959"/>
          <w:sz w:val="20"/>
        </w:rPr>
        <w:t>ss based on multiple administrations at different points in time as well as an option to compare forms from different respondents. Results from the DBC2-P and DBC2-T can be compared; the DBC2-A can be compared only with other DBC2-A forms. Up to five speci</w:t>
      </w:r>
      <w:r>
        <w:rPr>
          <w:rFonts w:ascii="Times" w:hAnsi="Times" w:cs="Times"/>
          <w:color w:val="595959"/>
          <w:sz w:val="20"/>
        </w:rPr>
        <w:t>fic items can be selected to administer and include in a daily Item Level Progress Monitoring Report.</w:t>
      </w:r>
    </w:p>
    <w:p w14:paraId="28012DF2" w14:textId="77777777" w:rsidR="00BE0DA4" w:rsidRDefault="00BE0DA4">
      <w:pPr>
        <w:spacing w:before="460" w:after="300"/>
      </w:pPr>
    </w:p>
    <w:p w14:paraId="504C581B" w14:textId="77777777" w:rsidR="00BE0DA4" w:rsidRDefault="009F7031">
      <w:pPr>
        <w:spacing w:before="460" w:after="300"/>
      </w:pPr>
      <w:r>
        <w:rPr>
          <w:rFonts w:ascii="Times" w:hAnsi="Times" w:cs="Times"/>
          <w:color w:val="595959"/>
          <w:sz w:val="20"/>
        </w:rPr>
        <w:t>DEVELOPMENT. The first iteration of the DBC was developed by coding the descriptive data from the developmental and psychological assessment of 1,000 chi</w:t>
      </w:r>
      <w:r>
        <w:rPr>
          <w:rFonts w:ascii="Times" w:hAnsi="Times" w:cs="Times"/>
          <w:color w:val="595959"/>
          <w:sz w:val="20"/>
        </w:rPr>
        <w:t>ldren with intellectual disabilities in Australia. The descriptive data were consolidated into 135 descriptions, which were then reviewed by four experts (psychiatrists and psychologists), and 95 descriptions were retained. The DBC was then written in pare</w:t>
      </w:r>
      <w:r>
        <w:rPr>
          <w:rFonts w:ascii="Times" w:hAnsi="Times" w:cs="Times"/>
          <w:color w:val="595959"/>
          <w:sz w:val="20"/>
        </w:rPr>
        <w:t>nt-friendly language, and a highly parallel teacher form was developed as well. The subscales were derived through exploratory factor analytic procedures and confirmed with confirmatory factor analytic procedures. The 106 items on the adult form were devel</w:t>
      </w:r>
      <w:r>
        <w:rPr>
          <w:rFonts w:ascii="Times" w:hAnsi="Times" w:cs="Times"/>
          <w:color w:val="595959"/>
          <w:sz w:val="20"/>
        </w:rPr>
        <w:t>oped through the coding of 660 clinical files and the evaluation of items on the DBC-P form. Factor analytic procedures were used to determine the factor structure. In developing the DBC2, the authors indicated minimal changes were made to the subscale str</w:t>
      </w:r>
      <w:r>
        <w:rPr>
          <w:rFonts w:ascii="Times" w:hAnsi="Times" w:cs="Times"/>
          <w:color w:val="595959"/>
          <w:sz w:val="20"/>
        </w:rPr>
        <w:t>ucture based on Jackson’s (1971) method of review of subscale structure. On the parent and teacher forms, three items were moved among subscales for the DBC2 revision, five items were deleted, and four items were added to a subscale. For the adult form, se</w:t>
      </w:r>
      <w:r>
        <w:rPr>
          <w:rFonts w:ascii="Times" w:hAnsi="Times" w:cs="Times"/>
          <w:color w:val="595959"/>
          <w:sz w:val="20"/>
        </w:rPr>
        <w:t>ven items were moved among subscales, four were deleted, and two items were added to a subscale.</w:t>
      </w:r>
    </w:p>
    <w:p w14:paraId="1BDCF0AF" w14:textId="77777777" w:rsidR="00BE0DA4" w:rsidRDefault="00BE0DA4">
      <w:pPr>
        <w:spacing w:before="460" w:after="300"/>
      </w:pPr>
    </w:p>
    <w:p w14:paraId="060A1A22" w14:textId="77777777" w:rsidR="00BE0DA4" w:rsidRDefault="009F7031">
      <w:pPr>
        <w:spacing w:before="460" w:after="300"/>
      </w:pPr>
      <w:r>
        <w:rPr>
          <w:rFonts w:ascii="Times" w:hAnsi="Times" w:cs="Times"/>
          <w:color w:val="595959"/>
          <w:sz w:val="20"/>
        </w:rPr>
        <w:t>TECHNICAL.</w:t>
      </w:r>
    </w:p>
    <w:p w14:paraId="4C993270" w14:textId="77777777" w:rsidR="00BE0DA4" w:rsidRDefault="00BE0DA4">
      <w:pPr>
        <w:spacing w:before="460" w:after="300"/>
      </w:pPr>
    </w:p>
    <w:p w14:paraId="2C30D359" w14:textId="77777777" w:rsidR="00BE0DA4" w:rsidRDefault="009F7031">
      <w:pPr>
        <w:spacing w:before="460" w:after="300"/>
      </w:pPr>
      <w:r>
        <w:rPr>
          <w:rFonts w:ascii="Times" w:hAnsi="Times" w:cs="Times"/>
          <w:color w:val="595959"/>
          <w:sz w:val="20"/>
        </w:rPr>
        <w:t>Standardization. Norming samples were collected for both the child population (for the DBC2-P and the DBC2-T) and the adult population (for the DB</w:t>
      </w:r>
      <w:r>
        <w:rPr>
          <w:rFonts w:ascii="Times" w:hAnsi="Times" w:cs="Times"/>
          <w:color w:val="595959"/>
          <w:sz w:val="20"/>
        </w:rPr>
        <w:t>C2-A). Both samples included only persons diagnosed with IDD.</w:t>
      </w:r>
    </w:p>
    <w:p w14:paraId="6828BCF2" w14:textId="77777777" w:rsidR="00BE0DA4" w:rsidRDefault="00BE0DA4">
      <w:pPr>
        <w:spacing w:before="460" w:after="300"/>
      </w:pPr>
    </w:p>
    <w:p w14:paraId="7DE571EB" w14:textId="77777777" w:rsidR="00BE0DA4" w:rsidRDefault="009F7031">
      <w:pPr>
        <w:spacing w:before="460" w:after="300"/>
      </w:pPr>
      <w:commentRangeStart w:id="0"/>
      <w:r>
        <w:rPr>
          <w:rFonts w:ascii="Times" w:hAnsi="Times" w:cs="Times"/>
          <w:color w:val="595959"/>
          <w:sz w:val="20"/>
        </w:rPr>
        <w:t>The child norming sample was based on 1,154 ratings of 593 children ages 4 to 18. The sample was acceptably matched to the U.S. population regarding ethnicity/race, parents’ educational levels,</w:t>
      </w:r>
      <w:r>
        <w:rPr>
          <w:rFonts w:ascii="Times" w:hAnsi="Times" w:cs="Times"/>
          <w:color w:val="595959"/>
          <w:sz w:val="20"/>
        </w:rPr>
        <w:t xml:space="preserve"> and geographic region. Frequencies and percentages of the sample were available for groups labeled as Asian, Black/African American, Hispanic/Latino, Native American, White, Multiple, and Other. The sample included more male children (n = 350, 59.0%) than</w:t>
      </w:r>
      <w:r>
        <w:rPr>
          <w:rFonts w:ascii="Times" w:hAnsi="Times" w:cs="Times"/>
          <w:color w:val="595959"/>
          <w:sz w:val="20"/>
        </w:rPr>
        <w:t xml:space="preserve"> female children (n = 243, 41.0%). The sample included an even balance of children with mild (n = 186, 31.4%), moderate (n = 181, 30.5%), and severe IDD (n = 165, 27.8%), with a somewhat lower proportion in the profound category (n = 61, 10.3%).</w:t>
      </w:r>
      <w:commentRangeEnd w:id="0"/>
      <w:r w:rsidR="005324D7">
        <w:rPr>
          <w:rStyle w:val="CommentReference"/>
        </w:rPr>
        <w:commentReference w:id="0"/>
      </w:r>
    </w:p>
    <w:p w14:paraId="665034B0" w14:textId="77777777" w:rsidR="00BE0DA4" w:rsidRDefault="00BE0DA4">
      <w:pPr>
        <w:spacing w:before="460" w:after="300"/>
      </w:pPr>
    </w:p>
    <w:p w14:paraId="2E022891" w14:textId="77777777" w:rsidR="00BE0DA4" w:rsidRDefault="009F7031">
      <w:pPr>
        <w:spacing w:before="460" w:after="300"/>
      </w:pPr>
      <w:commentRangeStart w:id="1"/>
      <w:r>
        <w:rPr>
          <w:rFonts w:ascii="Times" w:hAnsi="Times" w:cs="Times"/>
          <w:color w:val="595959"/>
          <w:sz w:val="20"/>
        </w:rPr>
        <w:lastRenderedPageBreak/>
        <w:t>The adult</w:t>
      </w:r>
      <w:r>
        <w:rPr>
          <w:rFonts w:ascii="Times" w:hAnsi="Times" w:cs="Times"/>
          <w:color w:val="595959"/>
          <w:sz w:val="20"/>
        </w:rPr>
        <w:t xml:space="preserve"> norming sample was based on 330 individuals with IDD, ages 18 to 89, rated once each by a caregiver or relative. This sample also was acceptably matched to the U.S. population regarding ethnicity/race, although Asians were somewhat underrepresented (1.5% </w:t>
      </w:r>
      <w:r>
        <w:rPr>
          <w:rFonts w:ascii="Times" w:hAnsi="Times" w:cs="Times"/>
          <w:color w:val="595959"/>
          <w:sz w:val="20"/>
        </w:rPr>
        <w:t>of the sample compared to 5.1% of the population) and Native Americans were somewhat overrepresented (4.5% versus 0.7%). Frequencies and percentages of the sample were also available for groups labeled as Black/African American, Hispanic/Latino, White, Mul</w:t>
      </w:r>
      <w:r>
        <w:rPr>
          <w:rFonts w:ascii="Times" w:hAnsi="Times" w:cs="Times"/>
          <w:color w:val="595959"/>
          <w:sz w:val="20"/>
        </w:rPr>
        <w:t xml:space="preserve">tiple, and Other. By geographic region, the sample was only moderately matched to the U.S. population; as the test authors noted, mismatch with geographic region is unlikely to impact the functioning of this measure. The sample included slightly more male </w:t>
      </w:r>
      <w:r>
        <w:rPr>
          <w:rFonts w:ascii="Times" w:hAnsi="Times" w:cs="Times"/>
          <w:color w:val="595959"/>
          <w:sz w:val="20"/>
        </w:rPr>
        <w:t>adults (n = 185, 56.1%) than female adults (n = 145, 43.9%). The sample included an even balance of individuals with mild (n = 128, 38.8%) and moderate (n = 121, 36.7%) IDD, with somewhat lower proportions in the severe (n = 49, 14.8%) and profound (n = 32</w:t>
      </w:r>
      <w:r>
        <w:rPr>
          <w:rFonts w:ascii="Times" w:hAnsi="Times" w:cs="Times"/>
          <w:color w:val="595959"/>
          <w:sz w:val="20"/>
        </w:rPr>
        <w:t>, 9.7%) categories.</w:t>
      </w:r>
      <w:commentRangeEnd w:id="1"/>
      <w:r w:rsidR="002C59F1">
        <w:rPr>
          <w:rStyle w:val="CommentReference"/>
        </w:rPr>
        <w:commentReference w:id="1"/>
      </w:r>
    </w:p>
    <w:p w14:paraId="23DB1A58" w14:textId="77777777" w:rsidR="00BE0DA4" w:rsidRDefault="00BE0DA4">
      <w:pPr>
        <w:spacing w:before="460" w:after="300"/>
      </w:pPr>
    </w:p>
    <w:p w14:paraId="278E6961" w14:textId="77777777" w:rsidR="00BE0DA4" w:rsidRDefault="009F7031">
      <w:pPr>
        <w:spacing w:before="460" w:after="300"/>
      </w:pPr>
      <w:commentRangeStart w:id="2"/>
      <w:r>
        <w:rPr>
          <w:rFonts w:ascii="Times" w:hAnsi="Times" w:cs="Times"/>
          <w:color w:val="595959"/>
          <w:sz w:val="20"/>
        </w:rPr>
        <w:t>Because large effect sizes were observed between degree of IDD and DBC2 scores, scores are provided using subsamples of degree of IDD (e.g., mild, moderate) as well as the entire child and adult samples as reference groups. These score</w:t>
      </w:r>
      <w:r>
        <w:rPr>
          <w:rFonts w:ascii="Times" w:hAnsi="Times" w:cs="Times"/>
          <w:color w:val="595959"/>
          <w:sz w:val="20"/>
        </w:rPr>
        <w:t>s for subsamples are based on much smaller samples. In addition to the U.S. norming samples, the test authors provided information on the original Australian sample.</w:t>
      </w:r>
      <w:commentRangeEnd w:id="2"/>
      <w:r w:rsidR="008E11FE">
        <w:rPr>
          <w:rStyle w:val="CommentReference"/>
        </w:rPr>
        <w:commentReference w:id="2"/>
      </w:r>
    </w:p>
    <w:p w14:paraId="1D6D65B0" w14:textId="77777777" w:rsidR="00BE0DA4" w:rsidRDefault="00BE0DA4">
      <w:pPr>
        <w:spacing w:before="460" w:after="300"/>
      </w:pPr>
    </w:p>
    <w:p w14:paraId="08E2D44D" w14:textId="77777777" w:rsidR="00BE0DA4" w:rsidRDefault="009F7031">
      <w:pPr>
        <w:spacing w:before="460" w:after="300"/>
      </w:pPr>
      <w:r>
        <w:rPr>
          <w:rFonts w:ascii="Times" w:hAnsi="Times" w:cs="Times"/>
          <w:color w:val="595959"/>
          <w:sz w:val="20"/>
        </w:rPr>
        <w:t xml:space="preserve">Reliability. </w:t>
      </w:r>
      <w:commentRangeStart w:id="3"/>
      <w:r>
        <w:rPr>
          <w:rFonts w:ascii="Times" w:hAnsi="Times" w:cs="Times"/>
          <w:color w:val="595959"/>
          <w:sz w:val="20"/>
        </w:rPr>
        <w:t>Reliability evidence is provided in three forms: coefficient alpha, test-ret</w:t>
      </w:r>
      <w:r>
        <w:rPr>
          <w:rFonts w:ascii="Times" w:hAnsi="Times" w:cs="Times"/>
          <w:color w:val="595959"/>
          <w:sz w:val="20"/>
        </w:rPr>
        <w:t>est stability, and cross-informant agreement. Alpha coefficients exceeded .94 at the Total Score level for all three forms, regardless of whether the calculation was based on the full sample or a category-specific subsample. For the child forms, alpha coef</w:t>
      </w:r>
      <w:r>
        <w:rPr>
          <w:rFonts w:ascii="Times" w:hAnsi="Times" w:cs="Times"/>
          <w:color w:val="595959"/>
          <w:sz w:val="20"/>
        </w:rPr>
        <w:t>ficients were higher for the Disruptive and Self-Absorbed subscales (coefficients ranged from .87 to .95 across forms and samples) than for the other three subscales (coefficients ranged from .61 to .85 across forms and samples). For the adult form, coeffi</w:t>
      </w:r>
      <w:r>
        <w:rPr>
          <w:rFonts w:ascii="Times" w:hAnsi="Times" w:cs="Times"/>
          <w:color w:val="595959"/>
          <w:sz w:val="20"/>
        </w:rPr>
        <w:t>cients were higher for the Disruptive subscale (range of .92 to .94 across samples) than for the Communication and Anxiety Disturbance and Self-Absorbed subscales (range of .83 to .87 across samples), which were higher than for the Depressive and Social Re</w:t>
      </w:r>
      <w:r>
        <w:rPr>
          <w:rFonts w:ascii="Times" w:hAnsi="Times" w:cs="Times"/>
          <w:color w:val="595959"/>
          <w:sz w:val="20"/>
        </w:rPr>
        <w:t xml:space="preserve">lating subscales (range of .71 to .81 across samples). Based on an interval of 1 to 3 weeks, test-retest stability was in the very high to nearly perfect range; </w:t>
      </w:r>
      <w:proofErr w:type="spellStart"/>
      <w:r>
        <w:rPr>
          <w:rFonts w:ascii="Times" w:hAnsi="Times" w:cs="Times"/>
          <w:color w:val="595959"/>
          <w:sz w:val="20"/>
        </w:rPr>
        <w:t>rs</w:t>
      </w:r>
      <w:proofErr w:type="spellEnd"/>
      <w:r>
        <w:rPr>
          <w:rFonts w:ascii="Times" w:hAnsi="Times" w:cs="Times"/>
          <w:color w:val="595959"/>
          <w:sz w:val="20"/>
        </w:rPr>
        <w:t xml:space="preserve"> ranged from .84 to .99, and effect sizes for score changes ranged from 0.01 to 0.16. Cross-i</w:t>
      </w:r>
      <w:r>
        <w:rPr>
          <w:rFonts w:ascii="Times" w:hAnsi="Times" w:cs="Times"/>
          <w:color w:val="595959"/>
          <w:sz w:val="20"/>
        </w:rPr>
        <w:t>nformant agreement was presented for the child form using interclass correlations, which ranged from .53 to .97. Additional reliability evidence was provided from the original DBC, based on the rationale that the DBC2 has the same items and Total Score and</w:t>
      </w:r>
      <w:r>
        <w:rPr>
          <w:rFonts w:ascii="Times" w:hAnsi="Times" w:cs="Times"/>
          <w:color w:val="595959"/>
          <w:sz w:val="20"/>
        </w:rPr>
        <w:t xml:space="preserve"> very similar subscales as the original measure.</w:t>
      </w:r>
      <w:commentRangeEnd w:id="3"/>
      <w:r w:rsidR="009B2A0F">
        <w:rPr>
          <w:rStyle w:val="CommentReference"/>
        </w:rPr>
        <w:commentReference w:id="3"/>
      </w:r>
    </w:p>
    <w:p w14:paraId="00F74CC4" w14:textId="77777777" w:rsidR="00BE0DA4" w:rsidRDefault="00BE0DA4">
      <w:pPr>
        <w:spacing w:before="460" w:after="300"/>
      </w:pPr>
    </w:p>
    <w:p w14:paraId="2A48B6EC" w14:textId="77777777" w:rsidR="00BE0DA4" w:rsidRDefault="009F7031">
      <w:pPr>
        <w:spacing w:before="460" w:after="300"/>
      </w:pPr>
      <w:r>
        <w:rPr>
          <w:rFonts w:ascii="Times" w:hAnsi="Times" w:cs="Times"/>
          <w:color w:val="595959"/>
          <w:sz w:val="20"/>
        </w:rPr>
        <w:t xml:space="preserve">Validity Evidence Based on Content. </w:t>
      </w:r>
      <w:commentRangeStart w:id="4"/>
      <w:r>
        <w:rPr>
          <w:rFonts w:ascii="Times" w:hAnsi="Times" w:cs="Times"/>
          <w:color w:val="595959"/>
          <w:sz w:val="20"/>
        </w:rPr>
        <w:t>The test authors based item development for the original DBC on qualitative analysis of behavioral disorders within files of persons already diagnosed with IDD. No quantitative nor evaluative review of DBC2 content, in e</w:t>
      </w:r>
      <w:r>
        <w:rPr>
          <w:rFonts w:ascii="Times" w:hAnsi="Times" w:cs="Times"/>
          <w:color w:val="595959"/>
          <w:sz w:val="20"/>
        </w:rPr>
        <w:t>ither pilot or final form, was reported. A focus group of parents of children with autism spectrum disorder endorsed the original DBC as the best of four measures of behavior with regard to several accessibility and content validity characteristics (Chandl</w:t>
      </w:r>
      <w:r>
        <w:rPr>
          <w:rFonts w:ascii="Times" w:hAnsi="Times" w:cs="Times"/>
          <w:color w:val="595959"/>
          <w:sz w:val="20"/>
        </w:rPr>
        <w:t>er et al., 2016).</w:t>
      </w:r>
      <w:commentRangeEnd w:id="4"/>
      <w:r w:rsidR="009B2A0F">
        <w:rPr>
          <w:rStyle w:val="CommentReference"/>
        </w:rPr>
        <w:commentReference w:id="4"/>
      </w:r>
    </w:p>
    <w:p w14:paraId="429E4CA9" w14:textId="77777777" w:rsidR="00BE0DA4" w:rsidRDefault="00BE0DA4">
      <w:pPr>
        <w:spacing w:before="460" w:after="300"/>
      </w:pPr>
    </w:p>
    <w:p w14:paraId="4DEFB4F7" w14:textId="77777777" w:rsidR="00BE0DA4" w:rsidRDefault="009F7031">
      <w:pPr>
        <w:spacing w:before="460" w:after="300"/>
      </w:pPr>
      <w:r>
        <w:rPr>
          <w:rFonts w:ascii="Times" w:hAnsi="Times" w:cs="Times"/>
          <w:color w:val="595959"/>
          <w:sz w:val="20"/>
        </w:rPr>
        <w:lastRenderedPageBreak/>
        <w:t xml:space="preserve">Validity Evidence Based on Internal Structure. </w:t>
      </w:r>
      <w:commentRangeStart w:id="5"/>
      <w:r>
        <w:rPr>
          <w:rFonts w:ascii="Times" w:hAnsi="Times" w:cs="Times"/>
          <w:color w:val="595959"/>
          <w:sz w:val="20"/>
        </w:rPr>
        <w:t>The five subscales of the original DBC for children were derived using exploratory factor analysis, then subsequently validated through confirmatory factor analysis (</w:t>
      </w:r>
      <w:proofErr w:type="spellStart"/>
      <w:r>
        <w:rPr>
          <w:rFonts w:ascii="Times" w:hAnsi="Times" w:cs="Times"/>
          <w:color w:val="595959"/>
          <w:sz w:val="20"/>
        </w:rPr>
        <w:t>Einfeld</w:t>
      </w:r>
      <w:proofErr w:type="spellEnd"/>
      <w:r>
        <w:rPr>
          <w:rFonts w:ascii="Times" w:hAnsi="Times" w:cs="Times"/>
          <w:color w:val="595959"/>
          <w:sz w:val="20"/>
        </w:rPr>
        <w:t xml:space="preserve"> &amp; </w:t>
      </w:r>
      <w:proofErr w:type="spellStart"/>
      <w:r>
        <w:rPr>
          <w:rFonts w:ascii="Times" w:hAnsi="Times" w:cs="Times"/>
          <w:color w:val="595959"/>
          <w:sz w:val="20"/>
        </w:rPr>
        <w:t>Tonge</w:t>
      </w:r>
      <w:proofErr w:type="spellEnd"/>
      <w:r>
        <w:rPr>
          <w:rFonts w:ascii="Times" w:hAnsi="Times" w:cs="Times"/>
          <w:color w:val="595959"/>
          <w:sz w:val="20"/>
        </w:rPr>
        <w:t>, 1995) a</w:t>
      </w:r>
      <w:r>
        <w:rPr>
          <w:rFonts w:ascii="Times" w:hAnsi="Times" w:cs="Times"/>
          <w:color w:val="595959"/>
          <w:sz w:val="20"/>
        </w:rPr>
        <w:t xml:space="preserve">nd other factor analytic studies (Dekker, Nunn, </w:t>
      </w:r>
      <w:proofErr w:type="spellStart"/>
      <w:r>
        <w:rPr>
          <w:rFonts w:ascii="Times" w:hAnsi="Times" w:cs="Times"/>
          <w:color w:val="595959"/>
          <w:sz w:val="20"/>
        </w:rPr>
        <w:t>Einfeld</w:t>
      </w:r>
      <w:proofErr w:type="spellEnd"/>
      <w:r>
        <w:rPr>
          <w:rFonts w:ascii="Times" w:hAnsi="Times" w:cs="Times"/>
          <w:color w:val="595959"/>
          <w:sz w:val="20"/>
        </w:rPr>
        <w:t xml:space="preserve">, </w:t>
      </w:r>
      <w:proofErr w:type="spellStart"/>
      <w:r>
        <w:rPr>
          <w:rFonts w:ascii="Times" w:hAnsi="Times" w:cs="Times"/>
          <w:color w:val="595959"/>
          <w:sz w:val="20"/>
        </w:rPr>
        <w:t>Tonge</w:t>
      </w:r>
      <w:proofErr w:type="spellEnd"/>
      <w:r>
        <w:rPr>
          <w:rFonts w:ascii="Times" w:hAnsi="Times" w:cs="Times"/>
          <w:color w:val="595959"/>
          <w:sz w:val="20"/>
        </w:rPr>
        <w:t xml:space="preserve">, &amp; </w:t>
      </w:r>
      <w:proofErr w:type="spellStart"/>
      <w:r>
        <w:rPr>
          <w:rFonts w:ascii="Times" w:hAnsi="Times" w:cs="Times"/>
          <w:color w:val="595959"/>
          <w:sz w:val="20"/>
        </w:rPr>
        <w:t>Koot</w:t>
      </w:r>
      <w:proofErr w:type="spellEnd"/>
      <w:r>
        <w:rPr>
          <w:rFonts w:ascii="Times" w:hAnsi="Times" w:cs="Times"/>
          <w:color w:val="595959"/>
          <w:sz w:val="20"/>
        </w:rPr>
        <w:t>, 2002). To develop the DBC2, its authors used a process that favors maximizing item-to-total correlations within subscales (Jackson, 1971). Although items were moved between subscales t</w:t>
      </w:r>
      <w:r>
        <w:rPr>
          <w:rFonts w:ascii="Times" w:hAnsi="Times" w:cs="Times"/>
          <w:color w:val="595959"/>
          <w:sz w:val="20"/>
        </w:rPr>
        <w:t>o create the second edition, no additional evidence of internal structure (e.g., confirmatory factor analysis, correlations among subscales) was reported for the DBC2.</w:t>
      </w:r>
      <w:commentRangeEnd w:id="5"/>
      <w:r w:rsidR="00E47468">
        <w:rPr>
          <w:rStyle w:val="CommentReference"/>
        </w:rPr>
        <w:commentReference w:id="5"/>
      </w:r>
    </w:p>
    <w:p w14:paraId="7FFE477C" w14:textId="77777777" w:rsidR="00BE0DA4" w:rsidRDefault="00BE0DA4">
      <w:pPr>
        <w:spacing w:before="460" w:after="300"/>
      </w:pPr>
    </w:p>
    <w:p w14:paraId="5909657E" w14:textId="77777777" w:rsidR="00BE0DA4" w:rsidRDefault="009F7031">
      <w:pPr>
        <w:spacing w:before="460" w:after="300"/>
      </w:pPr>
      <w:commentRangeStart w:id="6"/>
      <w:r>
        <w:rPr>
          <w:rFonts w:ascii="Times" w:hAnsi="Times" w:cs="Times"/>
          <w:color w:val="595959"/>
          <w:sz w:val="20"/>
        </w:rPr>
        <w:t>Validity Evidence Based on Relations to Other Variables. Evidence based on relations to</w:t>
      </w:r>
      <w:r>
        <w:rPr>
          <w:rFonts w:ascii="Times" w:hAnsi="Times" w:cs="Times"/>
          <w:color w:val="595959"/>
          <w:sz w:val="20"/>
        </w:rPr>
        <w:t xml:space="preserve"> other variables was not collected for the DBC2; psychometric evidence from the original DBC was included in the test manual. Convergent validity evidence for the DBC (child version) Total Score has been found with positive correlations with measures of be</w:t>
      </w:r>
      <w:r>
        <w:rPr>
          <w:rFonts w:ascii="Times" w:hAnsi="Times" w:cs="Times"/>
          <w:color w:val="595959"/>
          <w:sz w:val="20"/>
        </w:rPr>
        <w:t>havioral difficulties in the very large range (</w:t>
      </w:r>
      <w:proofErr w:type="spellStart"/>
      <w:r>
        <w:rPr>
          <w:rFonts w:ascii="Times" w:hAnsi="Times" w:cs="Times"/>
          <w:color w:val="595959"/>
          <w:sz w:val="20"/>
        </w:rPr>
        <w:t>rs</w:t>
      </w:r>
      <w:proofErr w:type="spellEnd"/>
      <w:r>
        <w:rPr>
          <w:rFonts w:ascii="Times" w:hAnsi="Times" w:cs="Times"/>
          <w:color w:val="595959"/>
          <w:sz w:val="20"/>
        </w:rPr>
        <w:t xml:space="preserve"> = .72 to .86). Discriminant validity has been found with negative correlations in the nonexistent range (r = -.06) to medium range (r = -.43) with measures of adaptive behavior (Dekker et al., 2002). DBC-P </w:t>
      </w:r>
      <w:r>
        <w:rPr>
          <w:rFonts w:ascii="Times" w:hAnsi="Times" w:cs="Times"/>
          <w:color w:val="595959"/>
          <w:sz w:val="20"/>
        </w:rPr>
        <w:t>total scores also correlated in the very large range (r = .81) with independent ratings of the severity of emotional and behavioral difficulties (</w:t>
      </w:r>
      <w:proofErr w:type="spellStart"/>
      <w:r>
        <w:rPr>
          <w:rFonts w:ascii="Times" w:hAnsi="Times" w:cs="Times"/>
          <w:color w:val="595959"/>
          <w:sz w:val="20"/>
        </w:rPr>
        <w:t>Einfield</w:t>
      </w:r>
      <w:proofErr w:type="spellEnd"/>
      <w:r>
        <w:rPr>
          <w:rFonts w:ascii="Times" w:hAnsi="Times" w:cs="Times"/>
          <w:color w:val="595959"/>
          <w:sz w:val="20"/>
        </w:rPr>
        <w:t xml:space="preserve"> &amp; </w:t>
      </w:r>
      <w:proofErr w:type="spellStart"/>
      <w:r>
        <w:rPr>
          <w:rFonts w:ascii="Times" w:hAnsi="Times" w:cs="Times"/>
          <w:color w:val="595959"/>
          <w:sz w:val="20"/>
        </w:rPr>
        <w:t>Tonge</w:t>
      </w:r>
      <w:proofErr w:type="spellEnd"/>
      <w:r>
        <w:rPr>
          <w:rFonts w:ascii="Times" w:hAnsi="Times" w:cs="Times"/>
          <w:color w:val="595959"/>
          <w:sz w:val="20"/>
        </w:rPr>
        <w:t>, 1995), and scores were found to be higher for children with previous clinical diagnoses base</w:t>
      </w:r>
      <w:r>
        <w:rPr>
          <w:rFonts w:ascii="Times" w:hAnsi="Times" w:cs="Times"/>
          <w:color w:val="595959"/>
          <w:sz w:val="20"/>
        </w:rPr>
        <w:t xml:space="preserve">d on the Diagnostic and Statistical Manual of Mental Disorders (4th ed., text rev.; DSM-IV-TR; American Psychiatric Association, 2000; Dekker, Nunn, &amp; </w:t>
      </w:r>
      <w:proofErr w:type="spellStart"/>
      <w:r>
        <w:rPr>
          <w:rFonts w:ascii="Times" w:hAnsi="Times" w:cs="Times"/>
          <w:color w:val="595959"/>
          <w:sz w:val="20"/>
        </w:rPr>
        <w:t>Koot</w:t>
      </w:r>
      <w:proofErr w:type="spellEnd"/>
      <w:r>
        <w:rPr>
          <w:rFonts w:ascii="Times" w:hAnsi="Times" w:cs="Times"/>
          <w:color w:val="595959"/>
          <w:sz w:val="20"/>
        </w:rPr>
        <w:t>, 2002).</w:t>
      </w:r>
      <w:commentRangeEnd w:id="6"/>
      <w:r w:rsidR="0058220E">
        <w:rPr>
          <w:rStyle w:val="CommentReference"/>
        </w:rPr>
        <w:commentReference w:id="6"/>
      </w:r>
    </w:p>
    <w:p w14:paraId="58877FF1" w14:textId="77777777" w:rsidR="00BE0DA4" w:rsidRDefault="00BE0DA4">
      <w:pPr>
        <w:spacing w:before="460" w:after="300"/>
      </w:pPr>
    </w:p>
    <w:p w14:paraId="61443357" w14:textId="77777777" w:rsidR="00BE0DA4" w:rsidRDefault="009F7031">
      <w:pPr>
        <w:spacing w:before="460" w:after="300"/>
      </w:pPr>
      <w:commentRangeStart w:id="7"/>
      <w:r>
        <w:rPr>
          <w:rFonts w:ascii="Times" w:hAnsi="Times" w:cs="Times"/>
          <w:color w:val="595959"/>
          <w:sz w:val="20"/>
        </w:rPr>
        <w:t>Convergent validity evidence also has been reported for the DBC-A. The Total Score has been</w:t>
      </w:r>
      <w:r>
        <w:rPr>
          <w:rFonts w:ascii="Times" w:hAnsi="Times" w:cs="Times"/>
          <w:color w:val="595959"/>
          <w:sz w:val="20"/>
        </w:rPr>
        <w:t xml:space="preserve"> found to correlate in the large to very large range (</w:t>
      </w:r>
      <w:proofErr w:type="spellStart"/>
      <w:r>
        <w:rPr>
          <w:rFonts w:ascii="Times" w:hAnsi="Times" w:cs="Times"/>
          <w:color w:val="595959"/>
          <w:sz w:val="20"/>
        </w:rPr>
        <w:t>rs</w:t>
      </w:r>
      <w:proofErr w:type="spellEnd"/>
      <w:r>
        <w:rPr>
          <w:rFonts w:ascii="Times" w:hAnsi="Times" w:cs="Times"/>
          <w:color w:val="595959"/>
          <w:sz w:val="20"/>
        </w:rPr>
        <w:t xml:space="preserve"> = .61 to .77) with measures of behavioral difficulties.</w:t>
      </w:r>
      <w:commentRangeEnd w:id="7"/>
      <w:r w:rsidR="00BF3946">
        <w:rPr>
          <w:rStyle w:val="CommentReference"/>
        </w:rPr>
        <w:commentReference w:id="7"/>
      </w:r>
    </w:p>
    <w:p w14:paraId="107274F0" w14:textId="77777777" w:rsidR="00BE0DA4" w:rsidRDefault="00BE0DA4" w:rsidP="00BF3946">
      <w:pPr>
        <w:spacing w:before="460" w:after="300"/>
        <w:jc w:val="center"/>
      </w:pPr>
    </w:p>
    <w:p w14:paraId="11FCD6FC" w14:textId="77777777" w:rsidR="00BE0DA4" w:rsidRDefault="009F7031">
      <w:pPr>
        <w:spacing w:before="460" w:after="300"/>
      </w:pPr>
      <w:r>
        <w:rPr>
          <w:rFonts w:ascii="Times" w:hAnsi="Times" w:cs="Times"/>
          <w:color w:val="595959"/>
          <w:sz w:val="20"/>
        </w:rPr>
        <w:t>COMMENTARY. Across forms, the arguments for interpretation of DBC2 scores are limited. Although the norming samples for the measures are accep</w:t>
      </w:r>
      <w:r>
        <w:rPr>
          <w:rFonts w:ascii="Times" w:hAnsi="Times" w:cs="Times"/>
          <w:color w:val="595959"/>
          <w:sz w:val="20"/>
        </w:rPr>
        <w:t>table (593 children and 330 adults), interpretation is recommended based on specific category of IDD, for which the samples are smaller (165 to 186 for mild, moderate, and severe IDD) and much smaller for profound IDD (n = 61) yielding potentially less acc</w:t>
      </w:r>
      <w:r>
        <w:rPr>
          <w:rFonts w:ascii="Times" w:hAnsi="Times" w:cs="Times"/>
          <w:color w:val="595959"/>
          <w:sz w:val="20"/>
        </w:rPr>
        <w:t xml:space="preserve">urate normative scores. The Total Score is internally consistent enough for interpretation as part of high-stakes decision making, as are some of the subscales across forms of the DBC2. Communication Disturbance on the DBC2-P and DBC2-T and Depressive and </w:t>
      </w:r>
      <w:r>
        <w:rPr>
          <w:rFonts w:ascii="Times" w:hAnsi="Times" w:cs="Times"/>
          <w:color w:val="595959"/>
          <w:sz w:val="20"/>
        </w:rPr>
        <w:t>Social Relating on the DBC2-A are subscales that may be appropriate to use as part of low-stakes decision making. Anxiety and Social Relating on the DBC2-P and DBC2-T are not internally consistent enough to be used as part of decision making. Evidence of t</w:t>
      </w:r>
      <w:r>
        <w:rPr>
          <w:rFonts w:ascii="Times" w:hAnsi="Times" w:cs="Times"/>
          <w:color w:val="595959"/>
          <w:sz w:val="20"/>
        </w:rPr>
        <w:t>est stability was strong.</w:t>
      </w:r>
    </w:p>
    <w:p w14:paraId="2BD03313" w14:textId="77777777" w:rsidR="00BE0DA4" w:rsidRDefault="00BE0DA4">
      <w:pPr>
        <w:spacing w:before="460" w:after="300"/>
      </w:pPr>
    </w:p>
    <w:p w14:paraId="6D443C36" w14:textId="77777777" w:rsidR="00BE0DA4" w:rsidRDefault="009F7031">
      <w:pPr>
        <w:spacing w:before="460" w:after="300"/>
      </w:pPr>
      <w:r>
        <w:rPr>
          <w:rFonts w:ascii="Times" w:hAnsi="Times" w:cs="Times"/>
          <w:color w:val="595959"/>
          <w:sz w:val="20"/>
        </w:rPr>
        <w:t xml:space="preserve">The lack of several types of evidence of validity is problematic. Evidence based on response processes was not included; including a validity index on the scales could have partially addressed this evidence. The lack of evidence </w:t>
      </w:r>
      <w:r>
        <w:rPr>
          <w:rFonts w:ascii="Times" w:hAnsi="Times" w:cs="Times"/>
          <w:color w:val="595959"/>
          <w:sz w:val="20"/>
        </w:rPr>
        <w:t>based on internal structure is problematic given the re-organization of several items between subscales; evidence for the DBC internal structure is not sufficient for the revision. In the same area, a correlation matrix of subscale scores would provide som</w:t>
      </w:r>
      <w:r>
        <w:rPr>
          <w:rFonts w:ascii="Times" w:hAnsi="Times" w:cs="Times"/>
          <w:color w:val="595959"/>
          <w:sz w:val="20"/>
        </w:rPr>
        <w:t>e evidence if it indicated there exists substantial divergence among the various scales. The evidence based on relations with other variables presented is acceptable for the Total Score; the evidence based on subscales of the original DBC is not entirely r</w:t>
      </w:r>
      <w:r>
        <w:rPr>
          <w:rFonts w:ascii="Times" w:hAnsi="Times" w:cs="Times"/>
          <w:color w:val="595959"/>
          <w:sz w:val="20"/>
        </w:rPr>
        <w:t>elevant because of the shifting of items for the DBC2 revision.</w:t>
      </w:r>
    </w:p>
    <w:p w14:paraId="6DC6DB6D" w14:textId="77777777" w:rsidR="00BE0DA4" w:rsidRDefault="00BE0DA4">
      <w:pPr>
        <w:spacing w:before="460" w:after="300"/>
      </w:pPr>
    </w:p>
    <w:p w14:paraId="00DCCF86" w14:textId="77777777" w:rsidR="00BE0DA4" w:rsidRDefault="009F7031">
      <w:pPr>
        <w:spacing w:before="460" w:after="300"/>
      </w:pPr>
      <w:r>
        <w:rPr>
          <w:rFonts w:ascii="Times" w:hAnsi="Times" w:cs="Times"/>
          <w:color w:val="595959"/>
          <w:sz w:val="20"/>
        </w:rPr>
        <w:t xml:space="preserve">SUMMARY. The DBC2 may be an appropriate test for some of its proposed applications. The biggest limitations of the assessment are the following: the DBC2 normative subsamples by IDD category </w:t>
      </w:r>
      <w:r>
        <w:rPr>
          <w:rFonts w:ascii="Times" w:hAnsi="Times" w:cs="Times"/>
          <w:color w:val="595959"/>
          <w:sz w:val="20"/>
        </w:rPr>
        <w:t xml:space="preserve">are small, several subscales are not internally consistent, and validity evidence is based largely on the previous version of the measure. The Total Score and the more internally consistent subscales may be used to complement an initial assessment and for </w:t>
      </w:r>
      <w:r>
        <w:rPr>
          <w:rFonts w:ascii="Times" w:hAnsi="Times" w:cs="Times"/>
          <w:color w:val="595959"/>
          <w:sz w:val="20"/>
        </w:rPr>
        <w:t>intervention monitoring. Those scores also may be used for standardized documentation, although interpreters should be mindful of whether they are using the full sample (yielding a likely more accurate normative score across categories of IDD) or the categ</w:t>
      </w:r>
      <w:r>
        <w:rPr>
          <w:rFonts w:ascii="Times" w:hAnsi="Times" w:cs="Times"/>
          <w:color w:val="595959"/>
          <w:sz w:val="20"/>
        </w:rPr>
        <w:t>ory-specific subsample (yielding a likely less accurate normative score specific to category). Typical evidence of the validity of screening scores, such as classification accuracy for predicting criteria, was not provided for the DBC2.</w:t>
      </w:r>
    </w:p>
    <w:p w14:paraId="321202F3" w14:textId="77777777" w:rsidR="00BE0DA4" w:rsidRDefault="00BE0DA4">
      <w:pPr>
        <w:spacing w:before="460" w:after="300"/>
      </w:pPr>
    </w:p>
    <w:p w14:paraId="7807F1C0" w14:textId="77777777" w:rsidR="00BE0DA4" w:rsidRDefault="009F7031">
      <w:pPr>
        <w:spacing w:before="460" w:after="300"/>
      </w:pPr>
      <w:r>
        <w:rPr>
          <w:rFonts w:ascii="Times" w:hAnsi="Times" w:cs="Times"/>
          <w:color w:val="595959"/>
          <w:sz w:val="20"/>
        </w:rPr>
        <w:t>REVIEWERS’ REFEREN</w:t>
      </w:r>
      <w:r>
        <w:rPr>
          <w:rFonts w:ascii="Times" w:hAnsi="Times" w:cs="Times"/>
          <w:color w:val="595959"/>
          <w:sz w:val="20"/>
        </w:rPr>
        <w:t>CES</w:t>
      </w:r>
    </w:p>
    <w:p w14:paraId="63D25769" w14:textId="77777777" w:rsidR="00BE0DA4" w:rsidRDefault="00BE0DA4">
      <w:pPr>
        <w:spacing w:before="460" w:after="300"/>
      </w:pPr>
    </w:p>
    <w:p w14:paraId="177034BC" w14:textId="77777777" w:rsidR="00BE0DA4" w:rsidRDefault="009F7031">
      <w:pPr>
        <w:spacing w:before="460" w:after="300"/>
      </w:pPr>
      <w:r>
        <w:rPr>
          <w:rFonts w:ascii="Times" w:hAnsi="Times" w:cs="Times"/>
          <w:color w:val="595959"/>
          <w:sz w:val="20"/>
        </w:rPr>
        <w:t>American Psychiatric Association. (2000). Diagnostic and statistical manual of mental disorders (4th ed., text rev.). Washington, DC: Author.</w:t>
      </w:r>
    </w:p>
    <w:p w14:paraId="46A3BEC1" w14:textId="77777777" w:rsidR="00BE0DA4" w:rsidRDefault="00BE0DA4">
      <w:pPr>
        <w:spacing w:before="460" w:after="300"/>
      </w:pPr>
    </w:p>
    <w:p w14:paraId="12D9BD45" w14:textId="77777777" w:rsidR="00BE0DA4" w:rsidRDefault="009F7031">
      <w:pPr>
        <w:spacing w:before="460" w:after="300"/>
      </w:pPr>
      <w:r>
        <w:rPr>
          <w:rFonts w:ascii="Times" w:hAnsi="Times" w:cs="Times"/>
          <w:color w:val="595959"/>
          <w:sz w:val="20"/>
        </w:rPr>
        <w:t xml:space="preserve">Chandler, S., </w:t>
      </w:r>
      <w:proofErr w:type="spellStart"/>
      <w:r>
        <w:rPr>
          <w:rFonts w:ascii="Times" w:hAnsi="Times" w:cs="Times"/>
          <w:color w:val="595959"/>
          <w:sz w:val="20"/>
        </w:rPr>
        <w:t>Howlin</w:t>
      </w:r>
      <w:proofErr w:type="spellEnd"/>
      <w:r>
        <w:rPr>
          <w:rFonts w:ascii="Times" w:hAnsi="Times" w:cs="Times"/>
          <w:color w:val="595959"/>
          <w:sz w:val="20"/>
        </w:rPr>
        <w:t xml:space="preserve">, P., </w:t>
      </w:r>
      <w:proofErr w:type="spellStart"/>
      <w:r>
        <w:rPr>
          <w:rFonts w:ascii="Times" w:hAnsi="Times" w:cs="Times"/>
          <w:color w:val="595959"/>
          <w:sz w:val="20"/>
        </w:rPr>
        <w:t>Simonoff</w:t>
      </w:r>
      <w:proofErr w:type="spellEnd"/>
      <w:r>
        <w:rPr>
          <w:rFonts w:ascii="Times" w:hAnsi="Times" w:cs="Times"/>
          <w:color w:val="595959"/>
          <w:sz w:val="20"/>
        </w:rPr>
        <w:t>, E., O’Sullivan, T., Tseng, E., Kennedy, J., ... Baird, G. (2016). Emotio</w:t>
      </w:r>
      <w:r>
        <w:rPr>
          <w:rFonts w:ascii="Times" w:hAnsi="Times" w:cs="Times"/>
          <w:color w:val="595959"/>
          <w:sz w:val="20"/>
        </w:rPr>
        <w:t xml:space="preserve">nal and </w:t>
      </w:r>
      <w:proofErr w:type="spellStart"/>
      <w:r>
        <w:rPr>
          <w:rFonts w:ascii="Times" w:hAnsi="Times" w:cs="Times"/>
          <w:color w:val="595959"/>
          <w:sz w:val="20"/>
        </w:rPr>
        <w:t>behavioural</w:t>
      </w:r>
      <w:proofErr w:type="spellEnd"/>
      <w:r>
        <w:rPr>
          <w:rFonts w:ascii="Times" w:hAnsi="Times" w:cs="Times"/>
          <w:color w:val="595959"/>
          <w:sz w:val="20"/>
        </w:rPr>
        <w:t xml:space="preserve"> problems in young children with autism spectrum disorder. Developmental Medicine &amp; Child Neurology, 58(2), 202-208.</w:t>
      </w:r>
    </w:p>
    <w:p w14:paraId="463EBAA9" w14:textId="77777777" w:rsidR="00BE0DA4" w:rsidRDefault="00BE0DA4">
      <w:pPr>
        <w:spacing w:before="460" w:after="300"/>
      </w:pPr>
    </w:p>
    <w:p w14:paraId="6F8BC0E1" w14:textId="77777777" w:rsidR="00BE0DA4" w:rsidRDefault="009F7031">
      <w:pPr>
        <w:spacing w:before="460" w:after="300"/>
      </w:pPr>
      <w:r>
        <w:rPr>
          <w:rFonts w:ascii="Times" w:hAnsi="Times" w:cs="Times"/>
          <w:color w:val="595959"/>
          <w:sz w:val="20"/>
        </w:rPr>
        <w:t xml:space="preserve">Dekker, M. C., Nunn, R., </w:t>
      </w:r>
      <w:proofErr w:type="spellStart"/>
      <w:r>
        <w:rPr>
          <w:rFonts w:ascii="Times" w:hAnsi="Times" w:cs="Times"/>
          <w:color w:val="595959"/>
          <w:sz w:val="20"/>
        </w:rPr>
        <w:t>Einfeld</w:t>
      </w:r>
      <w:proofErr w:type="spellEnd"/>
      <w:r>
        <w:rPr>
          <w:rFonts w:ascii="Times" w:hAnsi="Times" w:cs="Times"/>
          <w:color w:val="595959"/>
          <w:sz w:val="20"/>
        </w:rPr>
        <w:t xml:space="preserve">, S. E., </w:t>
      </w:r>
      <w:proofErr w:type="spellStart"/>
      <w:r>
        <w:rPr>
          <w:rFonts w:ascii="Times" w:hAnsi="Times" w:cs="Times"/>
          <w:color w:val="595959"/>
          <w:sz w:val="20"/>
        </w:rPr>
        <w:t>Tonge</w:t>
      </w:r>
      <w:proofErr w:type="spellEnd"/>
      <w:r>
        <w:rPr>
          <w:rFonts w:ascii="Times" w:hAnsi="Times" w:cs="Times"/>
          <w:color w:val="595959"/>
          <w:sz w:val="20"/>
        </w:rPr>
        <w:t xml:space="preserve">, B. J., &amp; </w:t>
      </w:r>
      <w:proofErr w:type="spellStart"/>
      <w:r>
        <w:rPr>
          <w:rFonts w:ascii="Times" w:hAnsi="Times" w:cs="Times"/>
          <w:color w:val="595959"/>
          <w:sz w:val="20"/>
        </w:rPr>
        <w:t>Koot</w:t>
      </w:r>
      <w:proofErr w:type="spellEnd"/>
      <w:r>
        <w:rPr>
          <w:rFonts w:ascii="Times" w:hAnsi="Times" w:cs="Times"/>
          <w:color w:val="595959"/>
          <w:sz w:val="20"/>
        </w:rPr>
        <w:t xml:space="preserve">, H. M. (2002). Assessing emotional and </w:t>
      </w:r>
      <w:proofErr w:type="spellStart"/>
      <w:r>
        <w:rPr>
          <w:rFonts w:ascii="Times" w:hAnsi="Times" w:cs="Times"/>
          <w:color w:val="595959"/>
          <w:sz w:val="20"/>
        </w:rPr>
        <w:t>behavioural</w:t>
      </w:r>
      <w:proofErr w:type="spellEnd"/>
      <w:r>
        <w:rPr>
          <w:rFonts w:ascii="Times" w:hAnsi="Times" w:cs="Times"/>
          <w:color w:val="595959"/>
          <w:sz w:val="20"/>
        </w:rPr>
        <w:t xml:space="preserve"> proble</w:t>
      </w:r>
      <w:r>
        <w:rPr>
          <w:rFonts w:ascii="Times" w:hAnsi="Times" w:cs="Times"/>
          <w:color w:val="595959"/>
          <w:sz w:val="20"/>
        </w:rPr>
        <w:t>ms in children with intellectual disability: Revising the factor structure of the Developmental Behavior Checklist. Journal of Autism and Developmental Disorders, 32(6), 601-610.</w:t>
      </w:r>
    </w:p>
    <w:p w14:paraId="5F736F9F" w14:textId="77777777" w:rsidR="00BE0DA4" w:rsidRDefault="00BE0DA4">
      <w:pPr>
        <w:spacing w:before="460" w:after="300"/>
      </w:pPr>
    </w:p>
    <w:p w14:paraId="6A8E1893" w14:textId="77777777" w:rsidR="00BE0DA4" w:rsidRDefault="009F7031">
      <w:pPr>
        <w:spacing w:before="460" w:after="300"/>
      </w:pPr>
      <w:r>
        <w:rPr>
          <w:rFonts w:ascii="Times" w:hAnsi="Times" w:cs="Times"/>
          <w:color w:val="595959"/>
          <w:sz w:val="20"/>
        </w:rPr>
        <w:t xml:space="preserve">Dekker, M. C., Nunn, R., &amp; </w:t>
      </w:r>
      <w:proofErr w:type="spellStart"/>
      <w:r>
        <w:rPr>
          <w:rFonts w:ascii="Times" w:hAnsi="Times" w:cs="Times"/>
          <w:color w:val="595959"/>
          <w:sz w:val="20"/>
        </w:rPr>
        <w:t>Koot</w:t>
      </w:r>
      <w:proofErr w:type="spellEnd"/>
      <w:r>
        <w:rPr>
          <w:rFonts w:ascii="Times" w:hAnsi="Times" w:cs="Times"/>
          <w:color w:val="595959"/>
          <w:sz w:val="20"/>
        </w:rPr>
        <w:t>, H. M. (2002). Psychometric properties of th</w:t>
      </w:r>
      <w:r>
        <w:rPr>
          <w:rFonts w:ascii="Times" w:hAnsi="Times" w:cs="Times"/>
          <w:color w:val="595959"/>
          <w:sz w:val="20"/>
        </w:rPr>
        <w:t>e revised Developmental Behavior Checklist scales in Dutch children with intellectual disability. Journal of Intellectual Disability Research, 46(1), 61-75.</w:t>
      </w:r>
    </w:p>
    <w:p w14:paraId="6851BC3B" w14:textId="77777777" w:rsidR="00BE0DA4" w:rsidRDefault="00BE0DA4">
      <w:pPr>
        <w:spacing w:before="460" w:after="300"/>
      </w:pPr>
    </w:p>
    <w:p w14:paraId="22AF14CD" w14:textId="77777777" w:rsidR="00BE0DA4" w:rsidRDefault="009F7031">
      <w:pPr>
        <w:spacing w:before="460" w:after="300"/>
      </w:pPr>
      <w:proofErr w:type="spellStart"/>
      <w:r>
        <w:rPr>
          <w:rFonts w:ascii="Times" w:hAnsi="Times" w:cs="Times"/>
          <w:color w:val="595959"/>
          <w:sz w:val="20"/>
        </w:rPr>
        <w:lastRenderedPageBreak/>
        <w:t>Einfeld</w:t>
      </w:r>
      <w:proofErr w:type="spellEnd"/>
      <w:r>
        <w:rPr>
          <w:rFonts w:ascii="Times" w:hAnsi="Times" w:cs="Times"/>
          <w:color w:val="595959"/>
          <w:sz w:val="20"/>
        </w:rPr>
        <w:t xml:space="preserve">, S. E., &amp; </w:t>
      </w:r>
      <w:proofErr w:type="spellStart"/>
      <w:r>
        <w:rPr>
          <w:rFonts w:ascii="Times" w:hAnsi="Times" w:cs="Times"/>
          <w:color w:val="595959"/>
          <w:sz w:val="20"/>
        </w:rPr>
        <w:t>Tonge</w:t>
      </w:r>
      <w:proofErr w:type="spellEnd"/>
      <w:r>
        <w:rPr>
          <w:rFonts w:ascii="Times" w:hAnsi="Times" w:cs="Times"/>
          <w:color w:val="595959"/>
          <w:sz w:val="20"/>
        </w:rPr>
        <w:t xml:space="preserve">, B. J. (1995). The Developmental </w:t>
      </w:r>
      <w:proofErr w:type="spellStart"/>
      <w:r>
        <w:rPr>
          <w:rFonts w:ascii="Times" w:hAnsi="Times" w:cs="Times"/>
          <w:color w:val="595959"/>
          <w:sz w:val="20"/>
        </w:rPr>
        <w:t>Behaviour</w:t>
      </w:r>
      <w:proofErr w:type="spellEnd"/>
      <w:r>
        <w:rPr>
          <w:rFonts w:ascii="Times" w:hAnsi="Times" w:cs="Times"/>
          <w:color w:val="595959"/>
          <w:sz w:val="20"/>
        </w:rPr>
        <w:t xml:space="preserve"> Checklist: The development and </w:t>
      </w:r>
      <w:r>
        <w:rPr>
          <w:rFonts w:ascii="Times" w:hAnsi="Times" w:cs="Times"/>
          <w:color w:val="595959"/>
          <w:sz w:val="20"/>
        </w:rPr>
        <w:t xml:space="preserve">validation of an instrument to assess behavioral and emotional disturbance in children and </w:t>
      </w:r>
      <w:r>
        <w:rPr>
          <w:rFonts w:ascii="Times" w:hAnsi="Times" w:cs="Times"/>
          <w:b/>
          <w:color w:val="595959"/>
          <w:sz w:val="20"/>
        </w:rPr>
        <w:t>adolescents</w:t>
      </w:r>
      <w:r>
        <w:rPr>
          <w:rFonts w:ascii="Times" w:hAnsi="Times" w:cs="Times"/>
          <w:color w:val="595959"/>
          <w:sz w:val="20"/>
        </w:rPr>
        <w:t xml:space="preserve"> with mental retardation. Journal of Autism and Developmental Disorders, 25(2), 81-104.</w:t>
      </w:r>
    </w:p>
    <w:p w14:paraId="31BDCF7F" w14:textId="77777777" w:rsidR="00BE0DA4" w:rsidRDefault="00BE0DA4">
      <w:pPr>
        <w:spacing w:before="460" w:after="300"/>
      </w:pPr>
    </w:p>
    <w:p w14:paraId="59CDF880" w14:textId="77777777" w:rsidR="00BE0DA4" w:rsidRDefault="009F7031">
      <w:pPr>
        <w:spacing w:before="460" w:after="300"/>
      </w:pPr>
      <w:r>
        <w:rPr>
          <w:rFonts w:ascii="Times" w:hAnsi="Times" w:cs="Times"/>
          <w:color w:val="595959"/>
          <w:sz w:val="20"/>
        </w:rPr>
        <w:t>Jackson, D. N. (1971). The dynamics of structured personality tes</w:t>
      </w:r>
      <w:r>
        <w:rPr>
          <w:rFonts w:ascii="Times" w:hAnsi="Times" w:cs="Times"/>
          <w:color w:val="595959"/>
          <w:sz w:val="20"/>
        </w:rPr>
        <w:t>ts: 1971. Psychological Review, 78(3), 229-248.</w:t>
      </w:r>
    </w:p>
    <w:p w14:paraId="4DC33DA3" w14:textId="77777777" w:rsidR="00BE0DA4" w:rsidRDefault="00BE0DA4"/>
    <w:p w14:paraId="562068B6" w14:textId="77777777" w:rsidR="00BE0DA4" w:rsidRDefault="00BE0DA4"/>
    <w:p w14:paraId="345DE76F" w14:textId="77777777" w:rsidR="00BE0DA4" w:rsidRDefault="009F7031">
      <w:pPr>
        <w:spacing w:before="460" w:after="300"/>
      </w:pPr>
      <w:r>
        <w:rPr>
          <w:rFonts w:ascii="Times" w:hAnsi="Times" w:cs="Times"/>
          <w:i/>
          <w:color w:val="595959"/>
          <w:sz w:val="20"/>
        </w:rPr>
        <w:t>Review of the Developmental Behavior Checklist 2 by LAURA L. PENDERGAST, Associate Professor, and STEPHANIE JOSEPH, Doctoral Student, Temple University, Philadelphia, PA:</w:t>
      </w:r>
    </w:p>
    <w:p w14:paraId="11845496" w14:textId="77777777" w:rsidR="00BE0DA4" w:rsidRDefault="00BE0DA4">
      <w:pPr>
        <w:spacing w:before="460" w:after="300"/>
      </w:pPr>
    </w:p>
    <w:p w14:paraId="1CADA801" w14:textId="77777777" w:rsidR="00BE0DA4" w:rsidRDefault="009F7031">
      <w:pPr>
        <w:spacing w:before="460" w:after="300"/>
      </w:pPr>
      <w:r>
        <w:rPr>
          <w:rFonts w:ascii="Times" w:hAnsi="Times" w:cs="Times"/>
          <w:color w:val="595959"/>
          <w:sz w:val="20"/>
        </w:rPr>
        <w:t xml:space="preserve">DESCRIPTION. The Developmental Behavior Checklist 2 (DBC2) is a rating scale that is intended to assess emotional and behavioral problems among individuals (children, </w:t>
      </w:r>
      <w:r>
        <w:rPr>
          <w:rFonts w:ascii="Times" w:hAnsi="Times" w:cs="Times"/>
          <w:b/>
          <w:color w:val="595959"/>
          <w:sz w:val="20"/>
        </w:rPr>
        <w:t>adolescents</w:t>
      </w:r>
      <w:r>
        <w:rPr>
          <w:rFonts w:ascii="Times" w:hAnsi="Times" w:cs="Times"/>
          <w:color w:val="595959"/>
          <w:sz w:val="20"/>
        </w:rPr>
        <w:t>, and adults) with intellectual and developmental disability (IDD). The measur</w:t>
      </w:r>
      <w:r>
        <w:rPr>
          <w:rFonts w:ascii="Times" w:hAnsi="Times" w:cs="Times"/>
          <w:color w:val="595959"/>
          <w:sz w:val="20"/>
        </w:rPr>
        <w:t>e’s authors make a compelling argument that emotional and behavioral problems may manifest differently in individuals with IDD and that other measures may not sufficiently identify the challenges children and adults with IDD experience. The DBC2 includes f</w:t>
      </w:r>
      <w:r>
        <w:rPr>
          <w:rFonts w:ascii="Times" w:hAnsi="Times" w:cs="Times"/>
          <w:color w:val="595959"/>
          <w:sz w:val="20"/>
        </w:rPr>
        <w:t>orms for ratings by parents and teachers and by adults who are rating other adults. Forms can be completed online or on paper in approximately 20 minutes. All forms, regardless of administration format, are scored online. The test developers state that the</w:t>
      </w:r>
      <w:r>
        <w:rPr>
          <w:rFonts w:ascii="Times" w:hAnsi="Times" w:cs="Times"/>
          <w:color w:val="595959"/>
          <w:sz w:val="20"/>
        </w:rPr>
        <w:t xml:space="preserve"> DBC2 “can be used for clinical, educational, and research purposes” (manual, p. 3) but note that, if used diagnostically, the DBC2 should be used in conjunction with other comprehensive assessment tools. DBC2 scores should be interpreted by professionals </w:t>
      </w:r>
      <w:r>
        <w:rPr>
          <w:rFonts w:ascii="Times" w:hAnsi="Times" w:cs="Times"/>
          <w:color w:val="595959"/>
          <w:sz w:val="20"/>
        </w:rPr>
        <w:t>with “relevant training and experience in psychological and educational assessments, as well as training or experience in child development, psychology, psychiatry, or other mental health professions” (manual, p. 3).</w:t>
      </w:r>
    </w:p>
    <w:p w14:paraId="4D12F9F7" w14:textId="77777777" w:rsidR="00BE0DA4" w:rsidRDefault="00BE0DA4">
      <w:pPr>
        <w:spacing w:before="460" w:after="300"/>
      </w:pPr>
    </w:p>
    <w:p w14:paraId="6C0C5D22" w14:textId="77777777" w:rsidR="00BE0DA4" w:rsidRDefault="009F7031">
      <w:pPr>
        <w:spacing w:before="460" w:after="300"/>
      </w:pPr>
      <w:r>
        <w:rPr>
          <w:rFonts w:ascii="Times" w:hAnsi="Times" w:cs="Times"/>
          <w:color w:val="595959"/>
          <w:sz w:val="20"/>
        </w:rPr>
        <w:t>The parent form of the DBC2 includes 9</w:t>
      </w:r>
      <w:r>
        <w:rPr>
          <w:rFonts w:ascii="Times" w:hAnsi="Times" w:cs="Times"/>
          <w:color w:val="595959"/>
          <w:sz w:val="20"/>
        </w:rPr>
        <w:t>6 items and is intended for parents/guardians of children ages 4 to 18. The teacher form includes 94 items and is intended for teachers or teachers’ aides of children ages 4 to 18. The version for adults rated by others includes 107 items and can be comple</w:t>
      </w:r>
      <w:r>
        <w:rPr>
          <w:rFonts w:ascii="Times" w:hAnsi="Times" w:cs="Times"/>
          <w:color w:val="595959"/>
          <w:sz w:val="20"/>
        </w:rPr>
        <w:t>ted by parents or other long-term adult caregivers for individuals ages 18 and older. Raters respond to each item using a 3-point scale (0 = not true as far as you know; 1 = somewhat true or sometimes true; 2 = very true or often true).</w:t>
      </w:r>
    </w:p>
    <w:p w14:paraId="315DCA7A" w14:textId="77777777" w:rsidR="00BE0DA4" w:rsidRDefault="00BE0DA4">
      <w:pPr>
        <w:spacing w:before="460" w:after="300"/>
      </w:pPr>
    </w:p>
    <w:p w14:paraId="762D7E29" w14:textId="77777777" w:rsidR="00BE0DA4" w:rsidRDefault="009F7031">
      <w:pPr>
        <w:spacing w:before="460" w:after="300"/>
      </w:pPr>
      <w:r>
        <w:rPr>
          <w:rFonts w:ascii="Times" w:hAnsi="Times" w:cs="Times"/>
          <w:color w:val="595959"/>
          <w:sz w:val="20"/>
        </w:rPr>
        <w:t>For the parent and teacher versions of the DBC2, subscale scores (reported as T scores) are available for the following subscales: Disruptive, Self-Absorbed, Communication Disturbance, Anxiety, and Social Relating. The form for adults rated by caregivers i</w:t>
      </w:r>
      <w:r>
        <w:rPr>
          <w:rFonts w:ascii="Times" w:hAnsi="Times" w:cs="Times"/>
          <w:color w:val="595959"/>
          <w:sz w:val="20"/>
        </w:rPr>
        <w:t xml:space="preserve">ncludes the following subscales: Disruptive, Communication and Anxiety </w:t>
      </w:r>
      <w:r>
        <w:rPr>
          <w:rFonts w:ascii="Times" w:hAnsi="Times" w:cs="Times"/>
          <w:color w:val="595959"/>
          <w:sz w:val="20"/>
        </w:rPr>
        <w:lastRenderedPageBreak/>
        <w:t>Disturbance, Self-Absorbed, Depressive, and Social Relating. Additional scores that can be calculated are a Mean Item Score, Proportion of Items Checked, and an Intensity Score (IS).</w:t>
      </w:r>
    </w:p>
    <w:p w14:paraId="4A4DF4EA" w14:textId="77777777" w:rsidR="00BE0DA4" w:rsidRDefault="00BE0DA4">
      <w:pPr>
        <w:spacing w:before="460" w:after="300"/>
      </w:pPr>
    </w:p>
    <w:p w14:paraId="2BB97EF7" w14:textId="77777777" w:rsidR="00BE0DA4" w:rsidRDefault="00BE0DA4">
      <w:pPr>
        <w:spacing w:before="460" w:after="300"/>
      </w:pPr>
    </w:p>
    <w:p w14:paraId="064887ED" w14:textId="77777777" w:rsidR="00BE0DA4" w:rsidRDefault="00BE0DA4">
      <w:pPr>
        <w:spacing w:before="460" w:after="300"/>
      </w:pPr>
    </w:p>
    <w:p w14:paraId="2793396F" w14:textId="77777777" w:rsidR="00BE0DA4" w:rsidRDefault="009F7031">
      <w:pPr>
        <w:spacing w:before="460" w:after="300"/>
      </w:pPr>
      <w:r>
        <w:rPr>
          <w:rFonts w:ascii="Times" w:hAnsi="Times" w:cs="Times"/>
          <w:color w:val="595959"/>
          <w:sz w:val="20"/>
        </w:rPr>
        <w:t>DEVELOPMENT. The original version of the DBC (</w:t>
      </w:r>
      <w:proofErr w:type="spellStart"/>
      <w:r>
        <w:rPr>
          <w:rFonts w:ascii="Times" w:hAnsi="Times" w:cs="Times"/>
          <w:color w:val="595959"/>
          <w:sz w:val="20"/>
        </w:rPr>
        <w:t>Einfeld</w:t>
      </w:r>
      <w:proofErr w:type="spellEnd"/>
      <w:r>
        <w:rPr>
          <w:rFonts w:ascii="Times" w:hAnsi="Times" w:cs="Times"/>
          <w:color w:val="595959"/>
          <w:sz w:val="20"/>
        </w:rPr>
        <w:t xml:space="preserve"> &amp; </w:t>
      </w:r>
      <w:proofErr w:type="spellStart"/>
      <w:r>
        <w:rPr>
          <w:rFonts w:ascii="Times" w:hAnsi="Times" w:cs="Times"/>
          <w:color w:val="595959"/>
          <w:sz w:val="20"/>
        </w:rPr>
        <w:t>Tonge</w:t>
      </w:r>
      <w:proofErr w:type="spellEnd"/>
      <w:r>
        <w:rPr>
          <w:rFonts w:ascii="Times" w:hAnsi="Times" w:cs="Times"/>
          <w:color w:val="595959"/>
          <w:sz w:val="20"/>
        </w:rPr>
        <w:t xml:space="preserve">, 1995) was developed using a sample from Australia. The items for the DBC parent and teacher versions were derived from the reviews of case files of 5,000 children and </w:t>
      </w:r>
      <w:r>
        <w:rPr>
          <w:rFonts w:ascii="Times" w:hAnsi="Times" w:cs="Times"/>
          <w:b/>
          <w:color w:val="595959"/>
          <w:sz w:val="20"/>
        </w:rPr>
        <w:t>adolescents</w:t>
      </w:r>
      <w:r>
        <w:rPr>
          <w:rFonts w:ascii="Times" w:hAnsi="Times" w:cs="Times"/>
          <w:color w:val="595959"/>
          <w:sz w:val="20"/>
        </w:rPr>
        <w:t xml:space="preserve"> with IDD. Sub</w:t>
      </w:r>
      <w:r>
        <w:rPr>
          <w:rFonts w:ascii="Times" w:hAnsi="Times" w:cs="Times"/>
          <w:color w:val="595959"/>
          <w:sz w:val="20"/>
        </w:rPr>
        <w:t>sequently, 7,000 children with intellectual disabilities in Australia were given what the test authors describe as comprehensive developmental and psychological assessments, and both parents and teachers provided ratings for the children. In regard to psyc</w:t>
      </w:r>
      <w:r>
        <w:rPr>
          <w:rFonts w:ascii="Times" w:hAnsi="Times" w:cs="Times"/>
          <w:color w:val="595959"/>
          <w:sz w:val="20"/>
        </w:rPr>
        <w:t>hometric properties, the original version of the scale demonstrated a test-retest reliability coefficient of .72. The interval between testing was not reported. Concurrent validity with similar measures was established, and cut scores were derived using re</w:t>
      </w:r>
      <w:r>
        <w:rPr>
          <w:rFonts w:ascii="Times" w:hAnsi="Times" w:cs="Times"/>
          <w:color w:val="595959"/>
          <w:sz w:val="20"/>
        </w:rPr>
        <w:t xml:space="preserve">ceiver operating characteristics (ROC) analyses. Structural validity of the original version was based on principal components analysis of a </w:t>
      </w:r>
      <w:proofErr w:type="spellStart"/>
      <w:r>
        <w:rPr>
          <w:rFonts w:ascii="Times" w:hAnsi="Times" w:cs="Times"/>
          <w:color w:val="595959"/>
          <w:sz w:val="20"/>
        </w:rPr>
        <w:t>polychoric</w:t>
      </w:r>
      <w:proofErr w:type="spellEnd"/>
      <w:r>
        <w:rPr>
          <w:rFonts w:ascii="Times" w:hAnsi="Times" w:cs="Times"/>
          <w:color w:val="595959"/>
          <w:sz w:val="20"/>
        </w:rPr>
        <w:t xml:space="preserve"> correlation matrix with oblique rotation. A five-factor solution was identified with the parent version </w:t>
      </w:r>
      <w:r>
        <w:rPr>
          <w:rFonts w:ascii="Times" w:hAnsi="Times" w:cs="Times"/>
          <w:color w:val="595959"/>
          <w:sz w:val="20"/>
        </w:rPr>
        <w:t>and applied to the teacher version. An independent research team (</w:t>
      </w:r>
      <w:proofErr w:type="spellStart"/>
      <w:r>
        <w:rPr>
          <w:rFonts w:ascii="Times" w:hAnsi="Times" w:cs="Times"/>
          <w:color w:val="595959"/>
          <w:sz w:val="20"/>
        </w:rPr>
        <w:t>Bontempo</w:t>
      </w:r>
      <w:proofErr w:type="spellEnd"/>
      <w:r>
        <w:rPr>
          <w:rFonts w:ascii="Times" w:hAnsi="Times" w:cs="Times"/>
          <w:color w:val="595959"/>
          <w:sz w:val="20"/>
        </w:rPr>
        <w:t xml:space="preserve"> et al., 2008) conducted a confirmatory factor analysis, and its findings supported the general structure and two of the factors (Disruptive/Antisocial and Self Absorbed) but raised </w:t>
      </w:r>
      <w:r>
        <w:rPr>
          <w:rFonts w:ascii="Times" w:hAnsi="Times" w:cs="Times"/>
          <w:color w:val="595959"/>
          <w:sz w:val="20"/>
        </w:rPr>
        <w:t>concern about the remaining three factors. The test authors state that the adult version of the original DBC followed a similar development process.</w:t>
      </w:r>
    </w:p>
    <w:p w14:paraId="560F22DA" w14:textId="77777777" w:rsidR="00BE0DA4" w:rsidRDefault="00BE0DA4">
      <w:pPr>
        <w:spacing w:before="460" w:after="300"/>
      </w:pPr>
    </w:p>
    <w:p w14:paraId="1DB8E2A2" w14:textId="77777777" w:rsidR="00BE0DA4" w:rsidRDefault="009F7031">
      <w:pPr>
        <w:spacing w:before="460" w:after="300"/>
      </w:pPr>
      <w:r>
        <w:rPr>
          <w:rFonts w:ascii="Times" w:hAnsi="Times" w:cs="Times"/>
          <w:color w:val="595959"/>
          <w:sz w:val="20"/>
        </w:rPr>
        <w:t>According to the test developers, the primary purpose for revising the DBC was to increase the extent to w</w:t>
      </w:r>
      <w:r>
        <w:rPr>
          <w:rFonts w:ascii="Times" w:hAnsi="Times" w:cs="Times"/>
          <w:color w:val="595959"/>
          <w:sz w:val="20"/>
        </w:rPr>
        <w:t>hich the scale can be used internationally. Therefore, the revised version included child and adult reference samples from the United States. Additionally, minor wording changes were made to items to increase consistency with American English.</w:t>
      </w:r>
    </w:p>
    <w:p w14:paraId="58DB27BC" w14:textId="77777777" w:rsidR="00BE0DA4" w:rsidRDefault="00BE0DA4">
      <w:pPr>
        <w:spacing w:before="460" w:after="300"/>
      </w:pPr>
    </w:p>
    <w:p w14:paraId="6A902AB1" w14:textId="77777777" w:rsidR="00BE0DA4" w:rsidRDefault="009F7031">
      <w:pPr>
        <w:spacing w:before="460" w:after="300"/>
      </w:pPr>
      <w:commentRangeStart w:id="8"/>
      <w:r>
        <w:rPr>
          <w:rFonts w:ascii="Times" w:hAnsi="Times" w:cs="Times"/>
          <w:color w:val="595959"/>
          <w:sz w:val="20"/>
        </w:rPr>
        <w:t>The normati</w:t>
      </w:r>
      <w:r>
        <w:rPr>
          <w:rFonts w:ascii="Times" w:hAnsi="Times" w:cs="Times"/>
          <w:color w:val="595959"/>
          <w:sz w:val="20"/>
        </w:rPr>
        <w:t>ve samples for the DBC2 were from the United States. Participants in the child/</w:t>
      </w:r>
      <w:r>
        <w:rPr>
          <w:rFonts w:ascii="Times" w:hAnsi="Times" w:cs="Times"/>
          <w:b/>
          <w:color w:val="595959"/>
          <w:sz w:val="20"/>
        </w:rPr>
        <w:t>adolescent</w:t>
      </w:r>
      <w:r>
        <w:rPr>
          <w:rFonts w:ascii="Times" w:hAnsi="Times" w:cs="Times"/>
          <w:color w:val="595959"/>
          <w:sz w:val="20"/>
        </w:rPr>
        <w:t xml:space="preserve"> sample were 593 individuals ages 4 to 18, the majority of whom were rated by both a parent and a teacher (581 teacher ratings, 573 parent ratings). The samples includ</w:t>
      </w:r>
      <w:r>
        <w:rPr>
          <w:rFonts w:ascii="Times" w:hAnsi="Times" w:cs="Times"/>
          <w:color w:val="595959"/>
          <w:sz w:val="20"/>
        </w:rPr>
        <w:t>ed individuals from across the spectrum of severity of IDD (mild to profound; ns = 61-186). Participants from throughout the United States were included. Of the total sample, 58.5% were White, 17.6% Latino, 14.2% African American, 3% Asian, and 1.9% Native</w:t>
      </w:r>
      <w:r>
        <w:rPr>
          <w:rFonts w:ascii="Times" w:hAnsi="Times" w:cs="Times"/>
          <w:color w:val="595959"/>
          <w:sz w:val="20"/>
        </w:rPr>
        <w:t xml:space="preserve"> American. The adult sample was composed of 330 adults ages 18 to 89 (ns = 32-128 for profound to mild disability status). The demographics of the adult sample were similar to the child sample. In both the child and adult samples, participants had a mean I</w:t>
      </w:r>
      <w:r>
        <w:rPr>
          <w:rFonts w:ascii="Times" w:hAnsi="Times" w:cs="Times"/>
          <w:color w:val="595959"/>
          <w:sz w:val="20"/>
        </w:rPr>
        <w:t>Q score between 40 and 60. All individuals in the sample had a diagnosis of IDD and were currently receiving some form of treatment.</w:t>
      </w:r>
      <w:commentRangeEnd w:id="8"/>
      <w:r w:rsidR="00A006BC">
        <w:rPr>
          <w:rStyle w:val="CommentReference"/>
        </w:rPr>
        <w:commentReference w:id="8"/>
      </w:r>
    </w:p>
    <w:p w14:paraId="37C2A882" w14:textId="77777777" w:rsidR="00BE0DA4" w:rsidRDefault="00BE0DA4">
      <w:pPr>
        <w:spacing w:before="460" w:after="300"/>
      </w:pPr>
    </w:p>
    <w:p w14:paraId="41C765C2" w14:textId="77777777" w:rsidR="00BE0DA4" w:rsidRDefault="009F7031">
      <w:pPr>
        <w:spacing w:before="460" w:after="300"/>
      </w:pPr>
      <w:r>
        <w:rPr>
          <w:rFonts w:ascii="Times" w:hAnsi="Times" w:cs="Times"/>
          <w:color w:val="595959"/>
          <w:sz w:val="20"/>
        </w:rPr>
        <w:lastRenderedPageBreak/>
        <w:t>TECHNICAL.</w:t>
      </w:r>
    </w:p>
    <w:p w14:paraId="199797D9" w14:textId="77777777" w:rsidR="00BE0DA4" w:rsidRDefault="00BE0DA4">
      <w:pPr>
        <w:spacing w:before="460" w:after="300"/>
      </w:pPr>
    </w:p>
    <w:p w14:paraId="67A92789" w14:textId="77777777" w:rsidR="00BE0DA4" w:rsidRDefault="009F7031">
      <w:pPr>
        <w:spacing w:before="460" w:after="300"/>
      </w:pPr>
      <w:r>
        <w:rPr>
          <w:rFonts w:ascii="Times" w:hAnsi="Times" w:cs="Times"/>
          <w:color w:val="595959"/>
          <w:sz w:val="20"/>
        </w:rPr>
        <w:t>Reliability</w:t>
      </w:r>
      <w:commentRangeStart w:id="9"/>
      <w:r>
        <w:rPr>
          <w:rFonts w:ascii="Times" w:hAnsi="Times" w:cs="Times"/>
          <w:color w:val="595959"/>
          <w:sz w:val="20"/>
        </w:rPr>
        <w:t>. In these reviewers’ opinion, interrater reliability was acceptable and consistent with what is co</w:t>
      </w:r>
      <w:r>
        <w:rPr>
          <w:rFonts w:ascii="Times" w:hAnsi="Times" w:cs="Times"/>
          <w:color w:val="595959"/>
          <w:sz w:val="20"/>
        </w:rPr>
        <w:t>mmonly found in behavioral rating scales with relatively low correspondence between parent and teacher forms (interclass correlation coefficients of .76 for the Total Score and from .64-.80 for the subscales in the total sample). Test-retest reliability wa</w:t>
      </w:r>
      <w:r>
        <w:rPr>
          <w:rFonts w:ascii="Times" w:hAnsi="Times" w:cs="Times"/>
          <w:color w:val="595959"/>
          <w:sz w:val="20"/>
        </w:rPr>
        <w:t>s evaluated over a period of 1 to 3 weeks with samples ranging in size from 29 to 42. Coefficients ranged from .86 to .98 for the parent and teacher forms and from .82 to .99 for the adult form. Internal consistency estimates for the Total Score and for th</w:t>
      </w:r>
      <w:r>
        <w:rPr>
          <w:rFonts w:ascii="Times" w:hAnsi="Times" w:cs="Times"/>
          <w:color w:val="595959"/>
          <w:sz w:val="20"/>
        </w:rPr>
        <w:t>e majority of the subscale scores on the DBC2-P and DBC2-T were sufficient (.80-.99). However, for some subgroups, particularly those with more severe IDD, reliability fell below .70 for the Anxiety and Social Relating subscales. The authors do note in the</w:t>
      </w:r>
      <w:r>
        <w:rPr>
          <w:rFonts w:ascii="Times" w:hAnsi="Times" w:cs="Times"/>
          <w:color w:val="595959"/>
          <w:sz w:val="20"/>
        </w:rPr>
        <w:t xml:space="preserve"> test manual that the Total Score has stronger psychometric support than the subscale scores (as is true with most measures).</w:t>
      </w:r>
      <w:commentRangeEnd w:id="9"/>
      <w:r w:rsidR="00BF3946">
        <w:rPr>
          <w:rStyle w:val="CommentReference"/>
        </w:rPr>
        <w:commentReference w:id="9"/>
      </w:r>
    </w:p>
    <w:p w14:paraId="5F5EAC74" w14:textId="77777777" w:rsidR="00BE0DA4" w:rsidRDefault="00BE0DA4">
      <w:pPr>
        <w:spacing w:before="460" w:after="300"/>
      </w:pPr>
    </w:p>
    <w:p w14:paraId="4E0AB761" w14:textId="77777777" w:rsidR="00BE0DA4" w:rsidRDefault="009F7031">
      <w:pPr>
        <w:spacing w:before="460" w:after="300"/>
      </w:pPr>
      <w:r>
        <w:rPr>
          <w:rFonts w:ascii="Times" w:hAnsi="Times" w:cs="Times"/>
          <w:color w:val="595959"/>
          <w:sz w:val="20"/>
        </w:rPr>
        <w:t>Validity</w:t>
      </w:r>
      <w:commentRangeStart w:id="10"/>
      <w:r>
        <w:rPr>
          <w:rFonts w:ascii="Times" w:hAnsi="Times" w:cs="Times"/>
          <w:color w:val="595959"/>
          <w:sz w:val="20"/>
        </w:rPr>
        <w:t>. In regard to validity, the scale developers described using the Jackson method developed in 1971 (Jackson, 1971) to eva</w:t>
      </w:r>
      <w:r>
        <w:rPr>
          <w:rFonts w:ascii="Times" w:hAnsi="Times" w:cs="Times"/>
          <w:color w:val="595959"/>
          <w:sz w:val="20"/>
        </w:rPr>
        <w:t>luate consistency between the original and revised versions of the scale. Aside from the Jackson method, no analyses of validity evidence specific to the DBC2 were reported in the test manual. Instead, the developers relied primarily upon validity analyses</w:t>
      </w:r>
      <w:r>
        <w:rPr>
          <w:rFonts w:ascii="Times" w:hAnsi="Times" w:cs="Times"/>
          <w:color w:val="595959"/>
          <w:sz w:val="20"/>
        </w:rPr>
        <w:t xml:space="preserve"> from the original DBC, which had differently worded items and, more importantly in these reviewers’ view, a culturally different sample. No invariance or measurement equivalence studies were reported in the test manual. Likewise, cut scores from the origi</w:t>
      </w:r>
      <w:r>
        <w:rPr>
          <w:rFonts w:ascii="Times" w:hAnsi="Times" w:cs="Times"/>
          <w:color w:val="595959"/>
          <w:sz w:val="20"/>
        </w:rPr>
        <w:t>nal DBC were retained, and no new analyses were conducted to evaluate whether those cut scores were applicable in a United States population and with the revised items. In addition, the purposes for which practitioners should use the three supplementary sc</w:t>
      </w:r>
      <w:r>
        <w:rPr>
          <w:rFonts w:ascii="Times" w:hAnsi="Times" w:cs="Times"/>
          <w:color w:val="595959"/>
          <w:sz w:val="20"/>
        </w:rPr>
        <w:t>ores (i.e., Mean Item Score, Proportion of Items Checked, and Intensity Score) are not clearly described, and psychometric support for the scores is not discussed in the manual.</w:t>
      </w:r>
      <w:commentRangeEnd w:id="10"/>
      <w:r w:rsidR="00B81767">
        <w:rPr>
          <w:rStyle w:val="CommentReference"/>
        </w:rPr>
        <w:commentReference w:id="10"/>
      </w:r>
    </w:p>
    <w:p w14:paraId="0C29EAE5" w14:textId="77777777" w:rsidR="00BE0DA4" w:rsidRDefault="00BE0DA4">
      <w:pPr>
        <w:spacing w:before="460" w:after="300"/>
      </w:pPr>
    </w:p>
    <w:p w14:paraId="3F2500D3" w14:textId="77777777" w:rsidR="00BE0DA4" w:rsidRDefault="009F7031">
      <w:pPr>
        <w:spacing w:before="460" w:after="300"/>
      </w:pPr>
      <w:r>
        <w:rPr>
          <w:rFonts w:ascii="Times" w:hAnsi="Times" w:cs="Times"/>
          <w:color w:val="595959"/>
          <w:sz w:val="20"/>
        </w:rPr>
        <w:t>COMMENTARY. The DBC2 is a tool that appears to fill an important need. As not</w:t>
      </w:r>
      <w:r>
        <w:rPr>
          <w:rFonts w:ascii="Times" w:hAnsi="Times" w:cs="Times"/>
          <w:color w:val="595959"/>
          <w:sz w:val="20"/>
        </w:rPr>
        <w:t>ed by the measure’s authors, behavioral and emotional symptoms often manifest differently among individuals with IDD. The success of interventions for emotional and behavioral symptoms among those with IDD is dependent upon the ability to accurately assess</w:t>
      </w:r>
      <w:r>
        <w:rPr>
          <w:rFonts w:ascii="Times" w:hAnsi="Times" w:cs="Times"/>
          <w:color w:val="595959"/>
          <w:sz w:val="20"/>
        </w:rPr>
        <w:t xml:space="preserve"> symptoms with this population. The development of the DBC2 is a promising step in that direction.</w:t>
      </w:r>
    </w:p>
    <w:p w14:paraId="099D69E2" w14:textId="77777777" w:rsidR="00BE0DA4" w:rsidRDefault="00BE0DA4">
      <w:pPr>
        <w:spacing w:before="460" w:after="300"/>
      </w:pPr>
    </w:p>
    <w:p w14:paraId="76F3C4A9" w14:textId="77777777" w:rsidR="00BE0DA4" w:rsidRDefault="009F7031">
      <w:pPr>
        <w:spacing w:before="460" w:after="300"/>
      </w:pPr>
      <w:r>
        <w:rPr>
          <w:rFonts w:ascii="Times" w:hAnsi="Times" w:cs="Times"/>
          <w:color w:val="595959"/>
          <w:sz w:val="20"/>
        </w:rPr>
        <w:t>In regard to psychometric properties, fairly extensive analyses were conducted on the original DBC. Those findings largely supported the reliability, struct</w:t>
      </w:r>
      <w:r>
        <w:rPr>
          <w:rFonts w:ascii="Times" w:hAnsi="Times" w:cs="Times"/>
          <w:color w:val="595959"/>
          <w:sz w:val="20"/>
        </w:rPr>
        <w:t>ural validity evidence, and concurrent evidence of validity of the original version of the DBC with an Australian sample—although independent researchers have raised some concerns about some of the subscale scores (</w:t>
      </w:r>
      <w:proofErr w:type="spellStart"/>
      <w:r>
        <w:rPr>
          <w:rFonts w:ascii="Times" w:hAnsi="Times" w:cs="Times"/>
          <w:color w:val="595959"/>
          <w:sz w:val="20"/>
        </w:rPr>
        <w:t>Bontempo</w:t>
      </w:r>
      <w:proofErr w:type="spellEnd"/>
      <w:r>
        <w:rPr>
          <w:rFonts w:ascii="Times" w:hAnsi="Times" w:cs="Times"/>
          <w:color w:val="595959"/>
          <w:sz w:val="20"/>
        </w:rPr>
        <w:t xml:space="preserve"> et al., 2008). For the revised v</w:t>
      </w:r>
      <w:r>
        <w:rPr>
          <w:rFonts w:ascii="Times" w:hAnsi="Times" w:cs="Times"/>
          <w:color w:val="595959"/>
          <w:sz w:val="20"/>
        </w:rPr>
        <w:t>ersion, the DBC2, reliability analyses were conducted with the new sample, and those generally supported the use of the scale, particularly the Total Score.</w:t>
      </w:r>
    </w:p>
    <w:p w14:paraId="00CC8521" w14:textId="77777777" w:rsidR="00BE0DA4" w:rsidRDefault="00BE0DA4">
      <w:pPr>
        <w:spacing w:before="460" w:after="300"/>
      </w:pPr>
    </w:p>
    <w:p w14:paraId="411BEEAC" w14:textId="77777777" w:rsidR="00BE0DA4" w:rsidRDefault="009F7031">
      <w:pPr>
        <w:spacing w:before="460" w:after="300"/>
      </w:pPr>
      <w:commentRangeStart w:id="11"/>
      <w:commentRangeStart w:id="12"/>
      <w:r>
        <w:rPr>
          <w:rFonts w:ascii="Times" w:hAnsi="Times" w:cs="Times"/>
          <w:color w:val="595959"/>
          <w:sz w:val="20"/>
        </w:rPr>
        <w:lastRenderedPageBreak/>
        <w:t>No validity analyses of the DBC2 were reported. Moreover, no analyses examining the measurement in</w:t>
      </w:r>
      <w:r>
        <w:rPr>
          <w:rFonts w:ascii="Times" w:hAnsi="Times" w:cs="Times"/>
          <w:color w:val="595959"/>
          <w:sz w:val="20"/>
        </w:rPr>
        <w:t>variance/ equivalence of the two versions of the scale or the two samples (United States and Australian) were reported. Yet, the cutoff scores for the original DBC were applied to the revised version without supporting evidence for such a decision. Despite</w:t>
      </w:r>
      <w:r>
        <w:rPr>
          <w:rFonts w:ascii="Times" w:hAnsi="Times" w:cs="Times"/>
          <w:color w:val="595959"/>
          <w:sz w:val="20"/>
        </w:rPr>
        <w:t xml:space="preserve"> the fact that the test authors describe the item changes as minor, neither the equivalence of the two versions nor the cultural equivalence of the United States and Australian samples should be assumed without evidence. Numerous researchers have written a</w:t>
      </w:r>
      <w:r>
        <w:rPr>
          <w:rFonts w:ascii="Times" w:hAnsi="Times" w:cs="Times"/>
          <w:color w:val="595959"/>
          <w:sz w:val="20"/>
        </w:rPr>
        <w:t xml:space="preserve">bout the critical need to establish measurement invariance prior to using a measurement tool with a new cultural group (e.g., Chen, 2008; </w:t>
      </w:r>
      <w:proofErr w:type="spellStart"/>
      <w:r>
        <w:rPr>
          <w:rFonts w:ascii="Times" w:hAnsi="Times" w:cs="Times"/>
          <w:color w:val="595959"/>
          <w:sz w:val="20"/>
        </w:rPr>
        <w:t>Pendergast</w:t>
      </w:r>
      <w:proofErr w:type="spellEnd"/>
      <w:r>
        <w:rPr>
          <w:rFonts w:ascii="Times" w:hAnsi="Times" w:cs="Times"/>
          <w:color w:val="595959"/>
          <w:sz w:val="20"/>
        </w:rPr>
        <w:t xml:space="preserve">, von der </w:t>
      </w:r>
      <w:proofErr w:type="spellStart"/>
      <w:r>
        <w:rPr>
          <w:rFonts w:ascii="Times" w:hAnsi="Times" w:cs="Times"/>
          <w:color w:val="595959"/>
          <w:sz w:val="20"/>
        </w:rPr>
        <w:t>Embse</w:t>
      </w:r>
      <w:proofErr w:type="spellEnd"/>
      <w:r>
        <w:rPr>
          <w:rFonts w:ascii="Times" w:hAnsi="Times" w:cs="Times"/>
          <w:color w:val="595959"/>
          <w:sz w:val="20"/>
        </w:rPr>
        <w:t xml:space="preserve">, </w:t>
      </w:r>
      <w:proofErr w:type="spellStart"/>
      <w:r>
        <w:rPr>
          <w:rFonts w:ascii="Times" w:hAnsi="Times" w:cs="Times"/>
          <w:color w:val="595959"/>
          <w:sz w:val="20"/>
        </w:rPr>
        <w:t>Kilgus</w:t>
      </w:r>
      <w:proofErr w:type="spellEnd"/>
      <w:r>
        <w:rPr>
          <w:rFonts w:ascii="Times" w:hAnsi="Times" w:cs="Times"/>
          <w:color w:val="595959"/>
          <w:sz w:val="20"/>
        </w:rPr>
        <w:t xml:space="preserve">, &amp; </w:t>
      </w:r>
      <w:proofErr w:type="spellStart"/>
      <w:r>
        <w:rPr>
          <w:rFonts w:ascii="Times" w:hAnsi="Times" w:cs="Times"/>
          <w:color w:val="595959"/>
          <w:sz w:val="20"/>
        </w:rPr>
        <w:t>Eklund</w:t>
      </w:r>
      <w:proofErr w:type="spellEnd"/>
      <w:r>
        <w:rPr>
          <w:rFonts w:ascii="Times" w:hAnsi="Times" w:cs="Times"/>
          <w:color w:val="595959"/>
          <w:sz w:val="20"/>
        </w:rPr>
        <w:t xml:space="preserve">, 2017; Vandenberg &amp; Lance, 2000). </w:t>
      </w:r>
      <w:commentRangeEnd w:id="11"/>
      <w:r w:rsidR="00B200D4">
        <w:rPr>
          <w:rStyle w:val="CommentReference"/>
        </w:rPr>
        <w:commentReference w:id="11"/>
      </w:r>
      <w:r>
        <w:rPr>
          <w:rFonts w:ascii="Times" w:hAnsi="Times" w:cs="Times"/>
          <w:color w:val="595959"/>
          <w:sz w:val="20"/>
        </w:rPr>
        <w:t xml:space="preserve">In addition, the sample sizes used with </w:t>
      </w:r>
      <w:r>
        <w:rPr>
          <w:rFonts w:ascii="Times" w:hAnsi="Times" w:cs="Times"/>
          <w:color w:val="595959"/>
          <w:sz w:val="20"/>
        </w:rPr>
        <w:t>the United States sample were quite small–particularly for the adult version. Finally, data were collected in treatment centers; thus, individuals in the DBC2 normative sample were likely to have been receiving treatment and may differ in important ways fr</w:t>
      </w:r>
      <w:r>
        <w:rPr>
          <w:rFonts w:ascii="Times" w:hAnsi="Times" w:cs="Times"/>
          <w:color w:val="595959"/>
          <w:sz w:val="20"/>
        </w:rPr>
        <w:t>om individuals with IDD who may not be receiving treatment. Collectively, these issues raise concern regarding the extent to which the DBC2 is ready for use by practitioners.</w:t>
      </w:r>
      <w:commentRangeEnd w:id="12"/>
      <w:r w:rsidR="00452F76">
        <w:rPr>
          <w:rStyle w:val="CommentReference"/>
        </w:rPr>
        <w:commentReference w:id="12"/>
      </w:r>
    </w:p>
    <w:p w14:paraId="67A0125A" w14:textId="77777777" w:rsidR="00BE0DA4" w:rsidRDefault="00BE0DA4">
      <w:pPr>
        <w:spacing w:before="460" w:after="300"/>
      </w:pPr>
    </w:p>
    <w:p w14:paraId="02ECF226" w14:textId="77777777" w:rsidR="00BE0DA4" w:rsidRDefault="009F7031">
      <w:pPr>
        <w:spacing w:before="460" w:after="300"/>
      </w:pPr>
      <w:r>
        <w:rPr>
          <w:rFonts w:ascii="Times" w:hAnsi="Times" w:cs="Times"/>
          <w:color w:val="595959"/>
          <w:sz w:val="20"/>
        </w:rPr>
        <w:t>SUMMARY. In summary, the DBC2 appears to be a promising tool that has the potential to support practitioners in addressing an important area of need. It is reasonably priced and relatively quick to administer, and online scoring is available. Unfortunately</w:t>
      </w:r>
      <w:r>
        <w:rPr>
          <w:rFonts w:ascii="Times" w:hAnsi="Times" w:cs="Times"/>
          <w:color w:val="595959"/>
          <w:sz w:val="20"/>
        </w:rPr>
        <w:t>, virtually no validity analyses of the revised version that used a United States normative sample have been reported in the test manual. Therefore, while the DBC2 may be promising, further research and validation of scores from the revised version are nec</w:t>
      </w:r>
      <w:r>
        <w:rPr>
          <w:rFonts w:ascii="Times" w:hAnsi="Times" w:cs="Times"/>
          <w:color w:val="595959"/>
          <w:sz w:val="20"/>
        </w:rPr>
        <w:t>essary before the DBC2 can be recommended for use in school or clinical settings.</w:t>
      </w:r>
    </w:p>
    <w:p w14:paraId="57123B0C" w14:textId="77777777" w:rsidR="00BE0DA4" w:rsidRDefault="00BE0DA4"/>
    <w:p w14:paraId="717031BF" w14:textId="77777777" w:rsidR="00BE0DA4" w:rsidRDefault="00BE0DA4"/>
    <w:p w14:paraId="78315CED" w14:textId="77777777" w:rsidR="00BE0DA4" w:rsidRDefault="00BE0DA4"/>
    <w:p w14:paraId="18C6E9B6" w14:textId="77777777" w:rsidR="00BE0DA4" w:rsidRDefault="00BE0DA4"/>
    <w:p w14:paraId="2200971A" w14:textId="77777777" w:rsidR="00BE0DA4" w:rsidRDefault="00BE0DA4"/>
    <w:p w14:paraId="0BB18BD4" w14:textId="77777777" w:rsidR="00BE0DA4" w:rsidRDefault="00BE0DA4"/>
    <w:p w14:paraId="354DED27" w14:textId="77777777" w:rsidR="00BE0DA4" w:rsidRDefault="00BE0DA4"/>
    <w:p w14:paraId="098FC04C" w14:textId="77777777" w:rsidR="00BE0DA4" w:rsidRDefault="00BE0DA4"/>
    <w:p w14:paraId="6AD0CFE4" w14:textId="77777777" w:rsidR="00BE0DA4" w:rsidRDefault="00BE0DA4"/>
    <w:p w14:paraId="67C44514" w14:textId="77777777" w:rsidR="00BE0DA4" w:rsidRDefault="00BE0DA4"/>
    <w:p w14:paraId="6F9AF5CA" w14:textId="77777777" w:rsidR="00BE0DA4" w:rsidRDefault="00BE0DA4"/>
    <w:p w14:paraId="26D44B4F" w14:textId="77777777" w:rsidR="00BE0DA4" w:rsidRDefault="00BE0DA4"/>
    <w:p w14:paraId="3959D22B" w14:textId="77777777" w:rsidR="00BE0DA4" w:rsidRDefault="00BE0DA4"/>
    <w:p w14:paraId="45E08580" w14:textId="77777777" w:rsidR="00BE0DA4" w:rsidRDefault="00BE0DA4"/>
    <w:p w14:paraId="516E5D16" w14:textId="77777777" w:rsidR="00BE0DA4" w:rsidRDefault="00BE0DA4"/>
    <w:p w14:paraId="11F5E9D0" w14:textId="77777777" w:rsidR="00BE0DA4" w:rsidRDefault="00BE0DA4"/>
    <w:p w14:paraId="22179BB8" w14:textId="77777777" w:rsidR="00BE0DA4" w:rsidRDefault="00BE0DA4"/>
    <w:p w14:paraId="7EBD9C6F" w14:textId="77777777" w:rsidR="00BE0DA4" w:rsidRDefault="00BE0DA4"/>
    <w:p w14:paraId="4B27502D" w14:textId="77777777" w:rsidR="00BE0DA4" w:rsidRDefault="00BE0DA4"/>
    <w:p w14:paraId="3E3B9FF2" w14:textId="77777777" w:rsidR="00BE0DA4" w:rsidRDefault="00BE0DA4"/>
    <w:p w14:paraId="1073D957" w14:textId="77777777" w:rsidR="00BE0DA4" w:rsidRDefault="00BE0DA4"/>
    <w:p w14:paraId="47658A97" w14:textId="77777777" w:rsidR="00BE0DA4" w:rsidRDefault="00BE0DA4"/>
    <w:p w14:paraId="1D828E3C" w14:textId="77777777" w:rsidR="00BE0DA4" w:rsidRDefault="00BE0DA4"/>
    <w:p w14:paraId="3497634C" w14:textId="77777777" w:rsidR="00BE0DA4" w:rsidRDefault="00BE0DA4"/>
    <w:p w14:paraId="2EC929BC" w14:textId="77777777" w:rsidR="00BE0DA4" w:rsidRDefault="00BE0DA4"/>
    <w:p w14:paraId="7652E3F1" w14:textId="77777777" w:rsidR="00BE0DA4" w:rsidRDefault="00BE0DA4"/>
    <w:p w14:paraId="64FF7BCD" w14:textId="77777777" w:rsidR="00BE0DA4" w:rsidRDefault="00BE0DA4"/>
    <w:p w14:paraId="383D4D00" w14:textId="77777777" w:rsidR="00BE0DA4" w:rsidRDefault="009F7031">
      <w:pPr>
        <w:spacing w:after="80"/>
      </w:pPr>
      <w:r>
        <w:rPr>
          <w:rFonts w:ascii="Times" w:hAnsi="Times" w:cs="Times"/>
          <w:sz w:val="34"/>
        </w:rPr>
        <w:t>Internet Addiction Test and Internet Addiction Test for Families</w:t>
      </w:r>
    </w:p>
    <w:p w14:paraId="22BFD790" w14:textId="77777777" w:rsidR="00BE0DA4" w:rsidRDefault="009F7031">
      <w:pPr>
        <w:spacing w:before="460" w:after="300"/>
      </w:pPr>
      <w:r>
        <w:rPr>
          <w:rFonts w:ascii="Times" w:hAnsi="Times" w:cs="Times"/>
          <w:b/>
          <w:color w:val="333333"/>
          <w:sz w:val="24"/>
        </w:rPr>
        <w:t>Full Text</w:t>
      </w:r>
    </w:p>
    <w:p w14:paraId="34BD6BA1" w14:textId="77777777" w:rsidR="00BE0DA4" w:rsidRDefault="009F7031">
      <w:pPr>
        <w:spacing w:before="460" w:after="380"/>
        <w:ind w:left="400" w:right="160"/>
      </w:pPr>
      <w:r>
        <w:rPr>
          <w:rFonts w:ascii="Times" w:hAnsi="Times" w:cs="Times"/>
          <w:b/>
          <w:color w:val="333333"/>
          <w:sz w:val="20"/>
        </w:rPr>
        <w:t>Listen</w:t>
      </w:r>
    </w:p>
    <w:p w14:paraId="61D6E1CB" w14:textId="77777777" w:rsidR="00BE0DA4" w:rsidRDefault="009F7031">
      <w:pPr>
        <w:spacing w:before="460" w:after="300"/>
      </w:pPr>
      <w:r>
        <w:rPr>
          <w:rFonts w:ascii="Times" w:hAnsi="Times" w:cs="Times"/>
          <w:i/>
          <w:color w:val="595959"/>
          <w:sz w:val="20"/>
        </w:rPr>
        <w:t>Review of the Internet Addiction Test and Internet Addiction Test for Families by RYAN L. FARMER, Assistant Professor, Oklahoma State University, Stillwater, OK:</w:t>
      </w:r>
    </w:p>
    <w:p w14:paraId="0BA10E94" w14:textId="77777777" w:rsidR="00BE0DA4" w:rsidRDefault="00BE0DA4">
      <w:pPr>
        <w:spacing w:before="460" w:after="300"/>
      </w:pPr>
    </w:p>
    <w:p w14:paraId="3CB8F179" w14:textId="77777777" w:rsidR="00BE0DA4" w:rsidRDefault="009F7031">
      <w:pPr>
        <w:spacing w:before="460" w:after="300"/>
      </w:pPr>
      <w:r>
        <w:rPr>
          <w:rFonts w:ascii="Times" w:hAnsi="Times" w:cs="Times"/>
          <w:color w:val="595959"/>
          <w:sz w:val="20"/>
        </w:rPr>
        <w:t>DESCRIPTION. The Internet Addiction Test and the Parent-Child Internet Addiction Test (PCIAT)</w:t>
      </w:r>
      <w:r>
        <w:rPr>
          <w:rFonts w:ascii="Times" w:hAnsi="Times" w:cs="Times"/>
          <w:color w:val="595959"/>
          <w:sz w:val="20"/>
        </w:rPr>
        <w:t xml:space="preserve"> are 20-item tests to be completed by the client and the client’s guardian (e.g., parent, teacher), respectively. All items are presented on a 5-point scale from rarely to always; alternatively, examinees can indicate that an item does not apply to their l</w:t>
      </w:r>
      <w:r>
        <w:rPr>
          <w:rFonts w:ascii="Times" w:hAnsi="Times" w:cs="Times"/>
          <w:color w:val="595959"/>
          <w:sz w:val="20"/>
        </w:rPr>
        <w:t xml:space="preserve">ife or the life of the child. The IAT is designed for </w:t>
      </w:r>
      <w:r>
        <w:rPr>
          <w:rFonts w:ascii="Times" w:hAnsi="Times" w:cs="Times"/>
          <w:b/>
          <w:color w:val="595959"/>
          <w:sz w:val="20"/>
        </w:rPr>
        <w:t>adolescents</w:t>
      </w:r>
      <w:r>
        <w:rPr>
          <w:rFonts w:ascii="Times" w:hAnsi="Times" w:cs="Times"/>
          <w:color w:val="595959"/>
          <w:sz w:val="20"/>
        </w:rPr>
        <w:t xml:space="preserve"> and adults, whereas the PCIAT is intended for parents of </w:t>
      </w:r>
      <w:proofErr w:type="gramStart"/>
      <w:r>
        <w:rPr>
          <w:rFonts w:ascii="Times" w:hAnsi="Times" w:cs="Times"/>
          <w:color w:val="595959"/>
          <w:sz w:val="20"/>
        </w:rPr>
        <w:t>persons</w:t>
      </w:r>
      <w:proofErr w:type="gramEnd"/>
      <w:r>
        <w:rPr>
          <w:rFonts w:ascii="Times" w:hAnsi="Times" w:cs="Times"/>
          <w:color w:val="595959"/>
          <w:sz w:val="20"/>
        </w:rPr>
        <w:t xml:space="preserve"> ages 12 to 18. Both instruments aim to measure “characteristics and behaviors associated with compulsive use of the Internet”</w:t>
      </w:r>
      <w:r>
        <w:rPr>
          <w:rFonts w:ascii="Times" w:hAnsi="Times" w:cs="Times"/>
          <w:color w:val="595959"/>
          <w:sz w:val="20"/>
        </w:rPr>
        <w:t xml:space="preserve"> (IAT manual, p. 11). The PCIAT comes as part of the IAT for Families (IAT-F), which also includes the Problematic and Risky Media Use in Children Checklist. The checklist contains eight yes-or-no items regarding children ages 3 to 11 and is designed to pr</w:t>
      </w:r>
      <w:r>
        <w:rPr>
          <w:rFonts w:ascii="Times" w:hAnsi="Times" w:cs="Times"/>
          <w:color w:val="595959"/>
          <w:sz w:val="20"/>
        </w:rPr>
        <w:t xml:space="preserve">ovide information about how children use technology and associated devices. The IAT and both components of the IAT-F can be individually or group administered either as a rating form or with items read aloud. The three measures include a practice question </w:t>
      </w:r>
      <w:r>
        <w:rPr>
          <w:rFonts w:ascii="Times" w:hAnsi="Times" w:cs="Times"/>
          <w:color w:val="595959"/>
          <w:sz w:val="20"/>
        </w:rPr>
        <w:t xml:space="preserve">and comprehension check that assesses examinee understanding of the directions; if the examinee fails the practice question twice, testing is discontinued. Additionally, each component includes a personal information page that obtains examinee identifying </w:t>
      </w:r>
      <w:r>
        <w:rPr>
          <w:rFonts w:ascii="Times" w:hAnsi="Times" w:cs="Times"/>
          <w:color w:val="595959"/>
          <w:sz w:val="20"/>
        </w:rPr>
        <w:t>information as well as information about the types of Internet sites the examinee uses.</w:t>
      </w:r>
    </w:p>
    <w:p w14:paraId="1E148128" w14:textId="77777777" w:rsidR="00BE0DA4" w:rsidRDefault="00BE0DA4">
      <w:pPr>
        <w:spacing w:before="460" w:after="300"/>
      </w:pPr>
    </w:p>
    <w:p w14:paraId="13AB98FA" w14:textId="77777777" w:rsidR="00BE0DA4" w:rsidRDefault="009F7031">
      <w:pPr>
        <w:spacing w:before="460" w:after="300"/>
      </w:pPr>
      <w:commentRangeStart w:id="13"/>
      <w:r>
        <w:rPr>
          <w:rFonts w:ascii="Times" w:hAnsi="Times" w:cs="Times"/>
          <w:color w:val="595959"/>
          <w:sz w:val="20"/>
        </w:rPr>
        <w:lastRenderedPageBreak/>
        <w:t>The IAT and PCIAT produce a Total score with a maximum of 100, with higher levels indicating greater severity of Internet dependency. The test author provides cut poin</w:t>
      </w:r>
      <w:r>
        <w:rPr>
          <w:rFonts w:ascii="Times" w:hAnsi="Times" w:cs="Times"/>
          <w:color w:val="595959"/>
          <w:sz w:val="20"/>
        </w:rPr>
        <w:t xml:space="preserve">ts to facilitate users’ interpretation of severity (i.e., 0-30 = none; 31-49 = mild; 50-79 = moderate; 80-100 = severe). </w:t>
      </w:r>
      <w:commentRangeEnd w:id="13"/>
      <w:r w:rsidR="00452F76">
        <w:rPr>
          <w:rStyle w:val="CommentReference"/>
        </w:rPr>
        <w:commentReference w:id="13"/>
      </w:r>
      <w:commentRangeStart w:id="14"/>
      <w:r>
        <w:rPr>
          <w:rFonts w:ascii="Times" w:hAnsi="Times" w:cs="Times"/>
          <w:color w:val="595959"/>
          <w:sz w:val="20"/>
        </w:rPr>
        <w:t>Additionally, the IAT provides six domain scores: Salience, Excessive Use, Neglect Work, Anticipation, Lack of Control, and Neglect Soc</w:t>
      </w:r>
      <w:r>
        <w:rPr>
          <w:rFonts w:ascii="Times" w:hAnsi="Times" w:cs="Times"/>
          <w:color w:val="595959"/>
          <w:sz w:val="20"/>
        </w:rPr>
        <w:t>ial Life. The PCIAT provides three domain scores: Attention, Social Behavior, and Aggression. For both the IAT and PCIAT, domain scores are calculated by averaging the scores of the items that contribute to a particular domain. The test author recommends t</w:t>
      </w:r>
      <w:r>
        <w:rPr>
          <w:rFonts w:ascii="Times" w:hAnsi="Times" w:cs="Times"/>
          <w:color w:val="595959"/>
          <w:sz w:val="20"/>
        </w:rPr>
        <w:t>hat domain scores be interpreted consistent with the scale that examinees used to respond to the items. The checklist has a maximum score of 8, and the test author advises that “answering yes to at least three of these behaviors in children … indicates tha</w:t>
      </w:r>
      <w:r>
        <w:rPr>
          <w:rFonts w:ascii="Times" w:hAnsi="Times" w:cs="Times"/>
          <w:color w:val="595959"/>
          <w:sz w:val="20"/>
        </w:rPr>
        <w:t>t they are exhibiting risky or problematic behaviors associated with excessive screen and device use” (IAT-F manual, p. 19).</w:t>
      </w:r>
      <w:commentRangeEnd w:id="14"/>
      <w:r w:rsidR="00452F76">
        <w:rPr>
          <w:rStyle w:val="CommentReference"/>
        </w:rPr>
        <w:commentReference w:id="14"/>
      </w:r>
    </w:p>
    <w:p w14:paraId="39186033" w14:textId="77777777" w:rsidR="00BE0DA4" w:rsidRDefault="00BE0DA4">
      <w:pPr>
        <w:spacing w:before="460" w:after="300"/>
      </w:pPr>
    </w:p>
    <w:p w14:paraId="772F52E6" w14:textId="77777777" w:rsidR="00BE0DA4" w:rsidRDefault="009F7031">
      <w:pPr>
        <w:spacing w:before="460" w:after="300"/>
      </w:pPr>
      <w:r>
        <w:rPr>
          <w:rFonts w:ascii="Times" w:hAnsi="Times" w:cs="Times"/>
          <w:color w:val="595959"/>
          <w:sz w:val="20"/>
        </w:rPr>
        <w:t>The administration instructions for the three instruments are clearly written and easy to follow. The IAT, PCIAT, and checklist ea</w:t>
      </w:r>
      <w:r>
        <w:rPr>
          <w:rFonts w:ascii="Times" w:hAnsi="Times" w:cs="Times"/>
          <w:color w:val="595959"/>
          <w:sz w:val="20"/>
        </w:rPr>
        <w:t>ch may be completed in 15 minutes or less, and summing of the Total score is quick and easy. The test author provides a domain interpretation guide to facilitate scoring of domains for the IAT and PCIAT, making the process efficient and potentially reducin</w:t>
      </w:r>
      <w:r>
        <w:rPr>
          <w:rFonts w:ascii="Times" w:hAnsi="Times" w:cs="Times"/>
          <w:color w:val="595959"/>
          <w:sz w:val="20"/>
        </w:rPr>
        <w:t>g calculation errors.</w:t>
      </w:r>
    </w:p>
    <w:p w14:paraId="6D8C419B" w14:textId="77777777" w:rsidR="00BE0DA4" w:rsidRDefault="00BE0DA4">
      <w:pPr>
        <w:spacing w:before="460" w:after="300"/>
      </w:pPr>
    </w:p>
    <w:p w14:paraId="38BDC17C" w14:textId="77777777" w:rsidR="00BE0DA4" w:rsidRDefault="009F7031">
      <w:pPr>
        <w:spacing w:before="460" w:after="300"/>
      </w:pPr>
      <w:r>
        <w:rPr>
          <w:rFonts w:ascii="Times" w:hAnsi="Times" w:cs="Times"/>
          <w:color w:val="595959"/>
          <w:sz w:val="20"/>
        </w:rPr>
        <w:t>DEVELOPMENT. In developing the IAT and PCIAT, the test author sought to create a test that would sample Internet addiction behaviors that are similar to those of established addictions (e.g., gambling) to facilitate classification ef</w:t>
      </w:r>
      <w:r>
        <w:rPr>
          <w:rFonts w:ascii="Times" w:hAnsi="Times" w:cs="Times"/>
          <w:color w:val="595959"/>
          <w:sz w:val="20"/>
        </w:rPr>
        <w:t>forts of Internet addiction disorders and to aid in pre-employment screening (see IAT manual, p. 10). The Internet Addiction Questionnaire (IADQ; Young, 1998) was first developed to facilitate diagnosis. Research using the IADQ expanded upon the research l</w:t>
      </w:r>
      <w:r>
        <w:rPr>
          <w:rFonts w:ascii="Times" w:hAnsi="Times" w:cs="Times"/>
          <w:color w:val="595959"/>
          <w:sz w:val="20"/>
        </w:rPr>
        <w:t>iterature and helped to identify associated features of Internet addiction including excessive use of the Internet, neglect of responsibilities, withdrawal, and covert Internet behaviors. Research exploring features that differentiate compulsive versus nor</w:t>
      </w:r>
      <w:r>
        <w:rPr>
          <w:rFonts w:ascii="Times" w:hAnsi="Times" w:cs="Times"/>
          <w:color w:val="595959"/>
          <w:sz w:val="20"/>
        </w:rPr>
        <w:t>mal Internet users (e.g., Greenfield, 1999) illuminated classification elements beyond excessive use to include preoccupation with the Internet, covert Internet-related behavior, preference of Internet-related behaviors over social or non-Internet activiti</w:t>
      </w:r>
      <w:r>
        <w:rPr>
          <w:rFonts w:ascii="Times" w:hAnsi="Times" w:cs="Times"/>
          <w:color w:val="595959"/>
          <w:sz w:val="20"/>
        </w:rPr>
        <w:t>es, use of the Internet to escape, and functional impairment. The IADQ was adapted in light of extant research. The IAT, and subsequently the PCIAT, were direct results.</w:t>
      </w:r>
    </w:p>
    <w:p w14:paraId="62B4745B" w14:textId="77777777" w:rsidR="00BE0DA4" w:rsidRDefault="00BE0DA4">
      <w:pPr>
        <w:spacing w:before="460" w:after="300"/>
      </w:pPr>
    </w:p>
    <w:p w14:paraId="3FE0BDBF" w14:textId="77777777" w:rsidR="00BE0DA4" w:rsidRDefault="009F7031">
      <w:pPr>
        <w:spacing w:before="460" w:after="300"/>
      </w:pPr>
      <w:r>
        <w:rPr>
          <w:rFonts w:ascii="Times" w:hAnsi="Times" w:cs="Times"/>
          <w:color w:val="595959"/>
          <w:sz w:val="20"/>
        </w:rPr>
        <w:t>In contrast to the IAT and PCIAT, the checklist was developed to provide clinicians w</w:t>
      </w:r>
      <w:r>
        <w:rPr>
          <w:rFonts w:ascii="Times" w:hAnsi="Times" w:cs="Times"/>
          <w:color w:val="595959"/>
          <w:sz w:val="20"/>
        </w:rPr>
        <w:t xml:space="preserve">ith a survey of a child-client’s media use in general. The test author cites the absence of a standard tool for collecting data regarding young children’s use of (a) Internet and computers, (b) television and movies, (c) video games, (d) mobile media, (e) </w:t>
      </w:r>
      <w:r>
        <w:rPr>
          <w:rFonts w:ascii="Times" w:hAnsi="Times" w:cs="Times"/>
          <w:color w:val="595959"/>
          <w:sz w:val="20"/>
        </w:rPr>
        <w:t>music, (f) reading and print media, and (g) social media. In addition to collecting basic information about the duration of time spent with such devices, the checklist is used to assess behavioral impairments related to media use, such as tantrums or aggre</w:t>
      </w:r>
      <w:r>
        <w:rPr>
          <w:rFonts w:ascii="Times" w:hAnsi="Times" w:cs="Times"/>
          <w:color w:val="595959"/>
          <w:sz w:val="20"/>
        </w:rPr>
        <w:t>ssion when asked to stop using devices.</w:t>
      </w:r>
    </w:p>
    <w:p w14:paraId="2BDC1770" w14:textId="77777777" w:rsidR="00BE0DA4" w:rsidRDefault="00BE0DA4">
      <w:pPr>
        <w:spacing w:before="460" w:after="300"/>
      </w:pPr>
    </w:p>
    <w:p w14:paraId="357BEF5E" w14:textId="77777777" w:rsidR="00BE0DA4" w:rsidRDefault="009F7031">
      <w:pPr>
        <w:spacing w:before="460" w:after="300"/>
      </w:pPr>
      <w:r>
        <w:rPr>
          <w:rFonts w:ascii="Times" w:hAnsi="Times" w:cs="Times"/>
          <w:color w:val="595959"/>
          <w:sz w:val="20"/>
        </w:rPr>
        <w:t xml:space="preserve">TECHNICAL. </w:t>
      </w:r>
      <w:commentRangeStart w:id="15"/>
      <w:r>
        <w:rPr>
          <w:rFonts w:ascii="Times" w:hAnsi="Times" w:cs="Times"/>
          <w:color w:val="595959"/>
          <w:sz w:val="20"/>
        </w:rPr>
        <w:t xml:space="preserve">The IAT and IAT-F manuals do not report standardization procedures or data resulting from such procedures. The test author describes the six IAT domain scores as having high to moderate reliability based </w:t>
      </w:r>
      <w:r>
        <w:rPr>
          <w:rFonts w:ascii="Times" w:hAnsi="Times" w:cs="Times"/>
          <w:color w:val="595959"/>
          <w:sz w:val="20"/>
        </w:rPr>
        <w:t xml:space="preserve">on </w:t>
      </w:r>
      <w:r>
        <w:rPr>
          <w:rFonts w:ascii="Times" w:hAnsi="Times" w:cs="Times"/>
          <w:color w:val="595959"/>
          <w:sz w:val="20"/>
        </w:rPr>
        <w:lastRenderedPageBreak/>
        <w:t>independent research (</w:t>
      </w:r>
      <w:proofErr w:type="spellStart"/>
      <w:r>
        <w:rPr>
          <w:rFonts w:ascii="Times" w:hAnsi="Times" w:cs="Times"/>
          <w:color w:val="595959"/>
          <w:sz w:val="20"/>
        </w:rPr>
        <w:t>Widyanto</w:t>
      </w:r>
      <w:proofErr w:type="spellEnd"/>
      <w:r>
        <w:rPr>
          <w:rFonts w:ascii="Times" w:hAnsi="Times" w:cs="Times"/>
          <w:color w:val="595959"/>
          <w:sz w:val="20"/>
        </w:rPr>
        <w:t xml:space="preserve"> &amp; </w:t>
      </w:r>
      <w:proofErr w:type="spellStart"/>
      <w:r>
        <w:rPr>
          <w:rFonts w:ascii="Times" w:hAnsi="Times" w:cs="Times"/>
          <w:color w:val="595959"/>
          <w:sz w:val="20"/>
        </w:rPr>
        <w:t>McMurran</w:t>
      </w:r>
      <w:proofErr w:type="spellEnd"/>
      <w:r>
        <w:rPr>
          <w:rFonts w:ascii="Times" w:hAnsi="Times" w:cs="Times"/>
          <w:color w:val="595959"/>
          <w:sz w:val="20"/>
        </w:rPr>
        <w:t xml:space="preserve">, 2004) but does not report alpha coefficients or other reliability estimates within the test manual. </w:t>
      </w:r>
      <w:proofErr w:type="spellStart"/>
      <w:r>
        <w:rPr>
          <w:rFonts w:ascii="Times" w:hAnsi="Times" w:cs="Times"/>
          <w:color w:val="595959"/>
          <w:sz w:val="20"/>
        </w:rPr>
        <w:t>Widyanto</w:t>
      </w:r>
      <w:proofErr w:type="spellEnd"/>
      <w:r>
        <w:rPr>
          <w:rFonts w:ascii="Times" w:hAnsi="Times" w:cs="Times"/>
          <w:color w:val="595959"/>
          <w:sz w:val="20"/>
        </w:rPr>
        <w:t xml:space="preserve"> and </w:t>
      </w:r>
      <w:proofErr w:type="spellStart"/>
      <w:r>
        <w:rPr>
          <w:rFonts w:ascii="Times" w:hAnsi="Times" w:cs="Times"/>
          <w:color w:val="595959"/>
          <w:sz w:val="20"/>
        </w:rPr>
        <w:t>McMurran</w:t>
      </w:r>
      <w:proofErr w:type="spellEnd"/>
      <w:r>
        <w:rPr>
          <w:rFonts w:ascii="Times" w:hAnsi="Times" w:cs="Times"/>
          <w:color w:val="595959"/>
          <w:sz w:val="20"/>
        </w:rPr>
        <w:t xml:space="preserve"> (2004) reported adequate or better alpha reliability for Salience (.82), Excessive Use (</w:t>
      </w:r>
      <w:r>
        <w:rPr>
          <w:rFonts w:ascii="Times" w:hAnsi="Times" w:cs="Times"/>
          <w:color w:val="595959"/>
          <w:sz w:val="20"/>
        </w:rPr>
        <w:t>.77), Lack of Self-Control (.76), and Neglect Work (.75) whereas Anticipation (.61) and Neglect Social Life (.54), were below the .70 criterion for adequate reliability (</w:t>
      </w:r>
      <w:proofErr w:type="spellStart"/>
      <w:r>
        <w:rPr>
          <w:rFonts w:ascii="Times" w:hAnsi="Times" w:cs="Times"/>
          <w:color w:val="595959"/>
          <w:sz w:val="20"/>
        </w:rPr>
        <w:t>Hunsley</w:t>
      </w:r>
      <w:proofErr w:type="spellEnd"/>
      <w:r>
        <w:rPr>
          <w:rFonts w:ascii="Times" w:hAnsi="Times" w:cs="Times"/>
          <w:color w:val="595959"/>
          <w:sz w:val="20"/>
        </w:rPr>
        <w:t xml:space="preserve"> &amp; Mash, 2018). Coefficient alpha reliability for the Total score was not prese</w:t>
      </w:r>
      <w:r>
        <w:rPr>
          <w:rFonts w:ascii="Times" w:hAnsi="Times" w:cs="Times"/>
          <w:color w:val="595959"/>
          <w:sz w:val="20"/>
        </w:rPr>
        <w:t>nted but was available via a literature search as .92-93. No reliability estimates were reported for the PCIAT or the checklist.</w:t>
      </w:r>
      <w:commentRangeEnd w:id="15"/>
      <w:r w:rsidR="00D42ECD">
        <w:rPr>
          <w:rStyle w:val="CommentReference"/>
        </w:rPr>
        <w:commentReference w:id="15"/>
      </w:r>
    </w:p>
    <w:p w14:paraId="6E9AAE28" w14:textId="77777777" w:rsidR="00BE0DA4" w:rsidRDefault="00BE0DA4">
      <w:pPr>
        <w:spacing w:before="460" w:after="300"/>
      </w:pPr>
    </w:p>
    <w:p w14:paraId="3F181989" w14:textId="77777777" w:rsidR="00BE0DA4" w:rsidRDefault="009F7031">
      <w:pPr>
        <w:spacing w:before="460" w:after="300"/>
      </w:pPr>
      <w:commentRangeStart w:id="16"/>
      <w:r>
        <w:rPr>
          <w:rFonts w:ascii="Times" w:hAnsi="Times" w:cs="Times"/>
          <w:color w:val="595959"/>
          <w:sz w:val="20"/>
        </w:rPr>
        <w:t xml:space="preserve">Evidence of validity to support the use of scores from the IAT and IAT-F is limited. The test author describes an exploratory </w:t>
      </w:r>
      <w:r>
        <w:rPr>
          <w:rFonts w:ascii="Times" w:hAnsi="Times" w:cs="Times"/>
          <w:color w:val="595959"/>
          <w:sz w:val="20"/>
        </w:rPr>
        <w:t xml:space="preserve">factor analysis (N = 86) of the IAT conducted by </w:t>
      </w:r>
      <w:proofErr w:type="spellStart"/>
      <w:r>
        <w:rPr>
          <w:rFonts w:ascii="Times" w:hAnsi="Times" w:cs="Times"/>
          <w:color w:val="595959"/>
          <w:sz w:val="20"/>
        </w:rPr>
        <w:t>Widyanto</w:t>
      </w:r>
      <w:proofErr w:type="spellEnd"/>
      <w:r>
        <w:rPr>
          <w:rFonts w:ascii="Times" w:hAnsi="Times" w:cs="Times"/>
          <w:color w:val="595959"/>
          <w:sz w:val="20"/>
        </w:rPr>
        <w:t xml:space="preserve"> and </w:t>
      </w:r>
      <w:proofErr w:type="spellStart"/>
      <w:r>
        <w:rPr>
          <w:rFonts w:ascii="Times" w:hAnsi="Times" w:cs="Times"/>
          <w:color w:val="595959"/>
          <w:sz w:val="20"/>
        </w:rPr>
        <w:t>McMurran</w:t>
      </w:r>
      <w:proofErr w:type="spellEnd"/>
      <w:r>
        <w:rPr>
          <w:rFonts w:ascii="Times" w:hAnsi="Times" w:cs="Times"/>
          <w:color w:val="595959"/>
          <w:sz w:val="20"/>
        </w:rPr>
        <w:t xml:space="preserve"> (2004) in which factors representing the six domains were identified. However, alternative factor structures published in the literature have identified unidimensional (</w:t>
      </w:r>
      <w:proofErr w:type="spellStart"/>
      <w:r>
        <w:rPr>
          <w:rFonts w:ascii="Times" w:hAnsi="Times" w:cs="Times"/>
          <w:color w:val="595959"/>
          <w:sz w:val="20"/>
        </w:rPr>
        <w:t>Khazaal</w:t>
      </w:r>
      <w:proofErr w:type="spellEnd"/>
      <w:r>
        <w:rPr>
          <w:rFonts w:ascii="Times" w:hAnsi="Times" w:cs="Times"/>
          <w:color w:val="595959"/>
          <w:sz w:val="20"/>
        </w:rPr>
        <w:t xml:space="preserve"> et al., </w:t>
      </w:r>
      <w:r>
        <w:rPr>
          <w:rFonts w:ascii="Times" w:hAnsi="Times" w:cs="Times"/>
          <w:color w:val="595959"/>
          <w:sz w:val="20"/>
        </w:rPr>
        <w:t xml:space="preserve">2008; </w:t>
      </w:r>
      <w:proofErr w:type="spellStart"/>
      <w:r>
        <w:rPr>
          <w:rFonts w:ascii="Times" w:hAnsi="Times" w:cs="Times"/>
          <w:color w:val="595959"/>
          <w:sz w:val="20"/>
        </w:rPr>
        <w:t>Korkeila</w:t>
      </w:r>
      <w:proofErr w:type="spellEnd"/>
      <w:r>
        <w:rPr>
          <w:rFonts w:ascii="Times" w:hAnsi="Times" w:cs="Times"/>
          <w:color w:val="595959"/>
          <w:sz w:val="20"/>
        </w:rPr>
        <w:t xml:space="preserve">, </w:t>
      </w:r>
      <w:proofErr w:type="spellStart"/>
      <w:r>
        <w:rPr>
          <w:rFonts w:ascii="Times" w:hAnsi="Times" w:cs="Times"/>
          <w:color w:val="595959"/>
          <w:sz w:val="20"/>
        </w:rPr>
        <w:t>Kaarlas</w:t>
      </w:r>
      <w:proofErr w:type="spellEnd"/>
      <w:r>
        <w:rPr>
          <w:rFonts w:ascii="Times" w:hAnsi="Times" w:cs="Times"/>
          <w:color w:val="595959"/>
          <w:sz w:val="20"/>
        </w:rPr>
        <w:t xml:space="preserve">, </w:t>
      </w:r>
      <w:proofErr w:type="spellStart"/>
      <w:r>
        <w:rPr>
          <w:rFonts w:ascii="Times" w:hAnsi="Times" w:cs="Times"/>
          <w:color w:val="595959"/>
          <w:sz w:val="20"/>
        </w:rPr>
        <w:t>Jääskeläinen</w:t>
      </w:r>
      <w:proofErr w:type="spellEnd"/>
      <w:r>
        <w:rPr>
          <w:rFonts w:ascii="Times" w:hAnsi="Times" w:cs="Times"/>
          <w:color w:val="595959"/>
          <w:sz w:val="20"/>
        </w:rPr>
        <w:t xml:space="preserve">, </w:t>
      </w:r>
      <w:proofErr w:type="spellStart"/>
      <w:r>
        <w:rPr>
          <w:rFonts w:ascii="Times" w:hAnsi="Times" w:cs="Times"/>
          <w:color w:val="595959"/>
          <w:sz w:val="20"/>
        </w:rPr>
        <w:t>Vahlberg</w:t>
      </w:r>
      <w:proofErr w:type="spellEnd"/>
      <w:r>
        <w:rPr>
          <w:rFonts w:ascii="Times" w:hAnsi="Times" w:cs="Times"/>
          <w:color w:val="595959"/>
          <w:sz w:val="20"/>
        </w:rPr>
        <w:t xml:space="preserve">, &amp; </w:t>
      </w:r>
      <w:proofErr w:type="spellStart"/>
      <w:r>
        <w:rPr>
          <w:rFonts w:ascii="Times" w:hAnsi="Times" w:cs="Times"/>
          <w:color w:val="595959"/>
          <w:sz w:val="20"/>
        </w:rPr>
        <w:t>Taiminen</w:t>
      </w:r>
      <w:proofErr w:type="spellEnd"/>
      <w:r>
        <w:rPr>
          <w:rFonts w:ascii="Times" w:hAnsi="Times" w:cs="Times"/>
          <w:color w:val="595959"/>
          <w:sz w:val="20"/>
        </w:rPr>
        <w:t>, 2010), two-factor (</w:t>
      </w:r>
      <w:proofErr w:type="spellStart"/>
      <w:r>
        <w:rPr>
          <w:rFonts w:ascii="Times" w:hAnsi="Times" w:cs="Times"/>
          <w:color w:val="595959"/>
          <w:sz w:val="20"/>
        </w:rPr>
        <w:t>Korkeila</w:t>
      </w:r>
      <w:proofErr w:type="spellEnd"/>
      <w:r>
        <w:rPr>
          <w:rFonts w:ascii="Times" w:hAnsi="Times" w:cs="Times"/>
          <w:color w:val="595959"/>
          <w:sz w:val="20"/>
        </w:rPr>
        <w:t xml:space="preserve"> et al., 2010), and three-factor structures (Chang &amp; Law, 2008). Similar structural ambiguity is present for the IAT with younger populations (e.g., Watters, Keefer, </w:t>
      </w:r>
      <w:proofErr w:type="spellStart"/>
      <w:r>
        <w:rPr>
          <w:rFonts w:ascii="Times" w:hAnsi="Times" w:cs="Times"/>
          <w:color w:val="595959"/>
          <w:sz w:val="20"/>
        </w:rPr>
        <w:t>Kl</w:t>
      </w:r>
      <w:r>
        <w:rPr>
          <w:rFonts w:ascii="Times" w:hAnsi="Times" w:cs="Times"/>
          <w:color w:val="595959"/>
          <w:sz w:val="20"/>
        </w:rPr>
        <w:t>oosterman</w:t>
      </w:r>
      <w:proofErr w:type="spellEnd"/>
      <w:r>
        <w:rPr>
          <w:rFonts w:ascii="Times" w:hAnsi="Times" w:cs="Times"/>
          <w:color w:val="595959"/>
          <w:sz w:val="20"/>
        </w:rPr>
        <w:t xml:space="preserve">, </w:t>
      </w:r>
      <w:proofErr w:type="spellStart"/>
      <w:r>
        <w:rPr>
          <w:rFonts w:ascii="Times" w:hAnsi="Times" w:cs="Times"/>
          <w:color w:val="595959"/>
          <w:sz w:val="20"/>
        </w:rPr>
        <w:t>Summerfeldt</w:t>
      </w:r>
      <w:proofErr w:type="spellEnd"/>
      <w:r>
        <w:rPr>
          <w:rFonts w:ascii="Times" w:hAnsi="Times" w:cs="Times"/>
          <w:color w:val="595959"/>
          <w:sz w:val="20"/>
        </w:rPr>
        <w:t>, &amp; Parker, 2013). The test author does not provide empirical support for the factor structure of the PCIAT.</w:t>
      </w:r>
      <w:commentRangeEnd w:id="16"/>
      <w:r w:rsidR="00A2706C">
        <w:rPr>
          <w:rStyle w:val="CommentReference"/>
        </w:rPr>
        <w:commentReference w:id="16"/>
      </w:r>
    </w:p>
    <w:p w14:paraId="1A9870EB" w14:textId="77777777" w:rsidR="00BE0DA4" w:rsidRDefault="00BE0DA4">
      <w:pPr>
        <w:spacing w:before="460" w:after="300"/>
      </w:pPr>
    </w:p>
    <w:p w14:paraId="65309A2C" w14:textId="77777777" w:rsidR="00BE0DA4" w:rsidRDefault="009F7031">
      <w:pPr>
        <w:spacing w:before="460" w:after="300"/>
      </w:pPr>
      <w:commentRangeStart w:id="17"/>
      <w:r>
        <w:rPr>
          <w:rFonts w:ascii="Times" w:hAnsi="Times" w:cs="Times"/>
          <w:color w:val="595959"/>
          <w:sz w:val="20"/>
        </w:rPr>
        <w:t>External evidence of validity is provided for the IAT in the form of weak correlations (r between .004 and .344) between sco</w:t>
      </w:r>
      <w:r>
        <w:rPr>
          <w:rFonts w:ascii="Times" w:hAnsi="Times" w:cs="Times"/>
          <w:color w:val="595959"/>
          <w:sz w:val="20"/>
        </w:rPr>
        <w:t>res and behaviors of interest such as an individual’s average use of the Internet and personal use of the Internet. Most factors demonstrated significant correlations with at least one behavior. For example, Salience was significantly correlated with perso</w:t>
      </w:r>
      <w:r>
        <w:rPr>
          <w:rFonts w:ascii="Times" w:hAnsi="Times" w:cs="Times"/>
          <w:color w:val="595959"/>
          <w:sz w:val="20"/>
        </w:rPr>
        <w:t>nal use (.321; p &lt;.01) and average use (.263; p &lt; .05), Lack of Self-Control was significantly correlated with personal use (.223; p &lt; .05), and Neglect Social Life was significantly correlated with duration of use (.261, p &lt; .05) and personal use (.216; p</w:t>
      </w:r>
      <w:r>
        <w:rPr>
          <w:rFonts w:ascii="Times" w:hAnsi="Times" w:cs="Times"/>
          <w:color w:val="595959"/>
          <w:sz w:val="20"/>
        </w:rPr>
        <w:t xml:space="preserve"> &lt; .05). The Total score was significantly correlated with average use (.217; p &lt; .05) and personal use (.299; p &lt; .01).</w:t>
      </w:r>
      <w:commentRangeEnd w:id="17"/>
      <w:r w:rsidR="00A2706C">
        <w:rPr>
          <w:rStyle w:val="CommentReference"/>
        </w:rPr>
        <w:commentReference w:id="17"/>
      </w:r>
    </w:p>
    <w:p w14:paraId="149769AC" w14:textId="77777777" w:rsidR="00BE0DA4" w:rsidRDefault="00BE0DA4">
      <w:pPr>
        <w:spacing w:before="460" w:after="300"/>
      </w:pPr>
    </w:p>
    <w:p w14:paraId="0FBD9D3D" w14:textId="77777777" w:rsidR="00BE0DA4" w:rsidRDefault="009F7031">
      <w:pPr>
        <w:spacing w:before="460" w:after="300"/>
      </w:pPr>
      <w:r>
        <w:rPr>
          <w:rFonts w:ascii="Times" w:hAnsi="Times" w:cs="Times"/>
          <w:color w:val="595959"/>
          <w:sz w:val="20"/>
        </w:rPr>
        <w:t>No data are provided to support the diagnostic utility of the three instruments. The validity evidence reported in the IAT and IAT-F m</w:t>
      </w:r>
      <w:r>
        <w:rPr>
          <w:rFonts w:ascii="Times" w:hAnsi="Times" w:cs="Times"/>
          <w:color w:val="595959"/>
          <w:sz w:val="20"/>
        </w:rPr>
        <w:t>anuals as well as the conflicting data presented in the extant literature suggest that these instruments fall short of the desired level of validity evidence called for in the Standards for Educational and Psychological Testing (American Educational Resear</w:t>
      </w:r>
      <w:r>
        <w:rPr>
          <w:rFonts w:ascii="Times" w:hAnsi="Times" w:cs="Times"/>
          <w:color w:val="595959"/>
          <w:sz w:val="20"/>
        </w:rPr>
        <w:t>ch Association, American Psychological Association, &amp; National Council on Measurement in Education, 2014) and in published accounts (</w:t>
      </w:r>
      <w:proofErr w:type="spellStart"/>
      <w:r>
        <w:rPr>
          <w:rFonts w:ascii="Times" w:hAnsi="Times" w:cs="Times"/>
          <w:color w:val="595959"/>
          <w:sz w:val="20"/>
        </w:rPr>
        <w:t>Hunsley</w:t>
      </w:r>
      <w:proofErr w:type="spellEnd"/>
      <w:r>
        <w:rPr>
          <w:rFonts w:ascii="Times" w:hAnsi="Times" w:cs="Times"/>
          <w:color w:val="595959"/>
          <w:sz w:val="20"/>
        </w:rPr>
        <w:t xml:space="preserve"> &amp; Mash, 2018).</w:t>
      </w:r>
    </w:p>
    <w:p w14:paraId="7845F803" w14:textId="77777777" w:rsidR="00BE0DA4" w:rsidRDefault="00BE0DA4">
      <w:pPr>
        <w:spacing w:before="460" w:after="300"/>
      </w:pPr>
    </w:p>
    <w:p w14:paraId="2F48768A" w14:textId="77777777" w:rsidR="00BE0DA4" w:rsidRDefault="009F7031">
      <w:pPr>
        <w:spacing w:before="460" w:after="300"/>
      </w:pPr>
      <w:r>
        <w:rPr>
          <w:rFonts w:ascii="Times" w:hAnsi="Times" w:cs="Times"/>
          <w:color w:val="595959"/>
          <w:sz w:val="20"/>
        </w:rPr>
        <w:t>COMMENTARY. The IAT and IAT-F may be useful in situations warranting specific assessment of behavio</w:t>
      </w:r>
      <w:r>
        <w:rPr>
          <w:rFonts w:ascii="Times" w:hAnsi="Times" w:cs="Times"/>
          <w:color w:val="595959"/>
          <w:sz w:val="20"/>
        </w:rPr>
        <w:t>rs related to Internet addiction. However, a clear theoretical model for the scale and supporting evidence are lacking at this time. First, the test was adapted from the IADQ to model the Diagnostic and Statistical Manual of Mental Disorders (4th ed.; Amer</w:t>
      </w:r>
      <w:r>
        <w:rPr>
          <w:rFonts w:ascii="Times" w:hAnsi="Times" w:cs="Times"/>
          <w:color w:val="595959"/>
          <w:sz w:val="20"/>
        </w:rPr>
        <w:t>ican Psychiatric Association, 1994) gambling criteria; five domains were then added based on exploratory factor analysis. Given that the test was developed to “measure the severity of Internet addiction” (IAT manual, p. 10), that the EFA upon which the six</w:t>
      </w:r>
      <w:r>
        <w:rPr>
          <w:rFonts w:ascii="Times" w:hAnsi="Times" w:cs="Times"/>
          <w:color w:val="595959"/>
          <w:sz w:val="20"/>
        </w:rPr>
        <w:t xml:space="preserve"> domains were extracted was conducted with a small sample and has not been replicated, the conflicting factor structures reported in the literature, and the inadequate reliability </w:t>
      </w:r>
      <w:r>
        <w:rPr>
          <w:rFonts w:ascii="Times" w:hAnsi="Times" w:cs="Times"/>
          <w:color w:val="595959"/>
          <w:sz w:val="20"/>
        </w:rPr>
        <w:lastRenderedPageBreak/>
        <w:t xml:space="preserve">of two domain scores, it is unclear how best to interpret the IAT. Due to a </w:t>
      </w:r>
      <w:r>
        <w:rPr>
          <w:rFonts w:ascii="Times" w:hAnsi="Times" w:cs="Times"/>
          <w:color w:val="595959"/>
          <w:sz w:val="20"/>
        </w:rPr>
        <w:t>deficit of research, no such analysis can be provided for the components of the IAT-F.</w:t>
      </w:r>
    </w:p>
    <w:p w14:paraId="09F851E5" w14:textId="77777777" w:rsidR="00BE0DA4" w:rsidRDefault="00BE0DA4">
      <w:pPr>
        <w:spacing w:before="460" w:after="300"/>
      </w:pPr>
    </w:p>
    <w:p w14:paraId="166A75CB" w14:textId="77777777" w:rsidR="00BE0DA4" w:rsidRDefault="009F7031">
      <w:pPr>
        <w:spacing w:before="460" w:after="300"/>
      </w:pPr>
      <w:r>
        <w:rPr>
          <w:rFonts w:ascii="Times" w:hAnsi="Times" w:cs="Times"/>
          <w:color w:val="595959"/>
          <w:sz w:val="20"/>
        </w:rPr>
        <w:t>Second, total and domain score reliability estimates are not provided in the examiner’s manual of either the IAT or the IAT-F. Although reliability estimates can be obtained from external publications for the IAT, this is not true for either component of t</w:t>
      </w:r>
      <w:r>
        <w:rPr>
          <w:rFonts w:ascii="Times" w:hAnsi="Times" w:cs="Times"/>
          <w:color w:val="595959"/>
          <w:sz w:val="20"/>
        </w:rPr>
        <w:t xml:space="preserve">he IAT-F. Based on </w:t>
      </w:r>
      <w:proofErr w:type="spellStart"/>
      <w:r>
        <w:rPr>
          <w:rFonts w:ascii="Times" w:hAnsi="Times" w:cs="Times"/>
          <w:color w:val="595959"/>
          <w:sz w:val="20"/>
        </w:rPr>
        <w:t>Hunsley</w:t>
      </w:r>
      <w:proofErr w:type="spellEnd"/>
      <w:r>
        <w:rPr>
          <w:rFonts w:ascii="Times" w:hAnsi="Times" w:cs="Times"/>
          <w:color w:val="595959"/>
          <w:sz w:val="20"/>
        </w:rPr>
        <w:t xml:space="preserve"> and Mash’s (2018) criteria, only the IAT’s Total score (see </w:t>
      </w:r>
      <w:proofErr w:type="spellStart"/>
      <w:r>
        <w:rPr>
          <w:rFonts w:ascii="Times" w:hAnsi="Times" w:cs="Times"/>
          <w:color w:val="595959"/>
          <w:sz w:val="20"/>
        </w:rPr>
        <w:t>Jelenchick</w:t>
      </w:r>
      <w:proofErr w:type="spellEnd"/>
      <w:r>
        <w:rPr>
          <w:rFonts w:ascii="Times" w:hAnsi="Times" w:cs="Times"/>
          <w:color w:val="595959"/>
          <w:sz w:val="20"/>
        </w:rPr>
        <w:t>, Becker, &amp; Moreno, 2012) and four of the six domain scores meet the minimum criteria for reliability (alpha coefficients of .70 or greater). More so, it is pr</w:t>
      </w:r>
      <w:r>
        <w:rPr>
          <w:rFonts w:ascii="Times" w:hAnsi="Times" w:cs="Times"/>
          <w:color w:val="595959"/>
          <w:sz w:val="20"/>
        </w:rPr>
        <w:t>oblematic that a clinician must conduct a literature search to obtain initial estimates.</w:t>
      </w:r>
    </w:p>
    <w:p w14:paraId="0D3597AF" w14:textId="77777777" w:rsidR="00BE0DA4" w:rsidRDefault="00BE0DA4">
      <w:pPr>
        <w:spacing w:before="460" w:after="300"/>
      </w:pPr>
    </w:p>
    <w:p w14:paraId="5C08CB1F" w14:textId="77777777" w:rsidR="00BE0DA4" w:rsidRDefault="009F7031">
      <w:pPr>
        <w:spacing w:before="460" w:after="300"/>
      </w:pPr>
      <w:r>
        <w:rPr>
          <w:rFonts w:ascii="Times" w:hAnsi="Times" w:cs="Times"/>
          <w:color w:val="595959"/>
          <w:sz w:val="20"/>
        </w:rPr>
        <w:t>Finally, the test author suggests that the IAT and related scales are intended for use in the diagnosis or risk assessment of Internet addiction and that they also ma</w:t>
      </w:r>
      <w:r>
        <w:rPr>
          <w:rFonts w:ascii="Times" w:hAnsi="Times" w:cs="Times"/>
          <w:color w:val="595959"/>
          <w:sz w:val="20"/>
        </w:rPr>
        <w:t>y be used for screening purposes or in professional situations. However, the author offers minimal validity evidence for the scale, no diagnostic utility for the scale, and no data suggesting that the scale has adequate predictive ability for use in a prof</w:t>
      </w:r>
      <w:r>
        <w:rPr>
          <w:rFonts w:ascii="Times" w:hAnsi="Times" w:cs="Times"/>
          <w:color w:val="595959"/>
          <w:sz w:val="20"/>
        </w:rPr>
        <w:t>essional sector. Cut points are provided in both the IAT and IAT-F manuals, but it is unclear how these cut points were determined; the test author refers to published validity evidence but provides no citations.</w:t>
      </w:r>
    </w:p>
    <w:p w14:paraId="58654717" w14:textId="77777777" w:rsidR="00BE0DA4" w:rsidRDefault="00BE0DA4">
      <w:pPr>
        <w:spacing w:before="460" w:after="300"/>
      </w:pPr>
    </w:p>
    <w:p w14:paraId="40652D99" w14:textId="77777777" w:rsidR="00BE0DA4" w:rsidRDefault="009F7031">
      <w:pPr>
        <w:spacing w:before="460" w:after="300"/>
      </w:pPr>
      <w:r>
        <w:rPr>
          <w:rFonts w:ascii="Times" w:hAnsi="Times" w:cs="Times"/>
          <w:color w:val="595959"/>
          <w:sz w:val="20"/>
        </w:rPr>
        <w:t>SUMMARY. The test author has developed sca</w:t>
      </w:r>
      <w:r>
        <w:rPr>
          <w:rFonts w:ascii="Times" w:hAnsi="Times" w:cs="Times"/>
          <w:color w:val="595959"/>
          <w:sz w:val="20"/>
        </w:rPr>
        <w:t>les that have greatly facilitated research on Internet addiction. More so, they can be administered, scored, and interpreted efficiently. The author wisely based the development of the IAT on established methods used in the assessment of related disorders.</w:t>
      </w:r>
      <w:r>
        <w:rPr>
          <w:rFonts w:ascii="Times" w:hAnsi="Times" w:cs="Times"/>
          <w:color w:val="595959"/>
          <w:sz w:val="20"/>
        </w:rPr>
        <w:t xml:space="preserve"> However, theoretical ambiguity and limited psychometric evidence severely limit the current utility of the scales for clinical practice. There is continued doubt as to whether the IAT or the scales included within the IAT-F provide incremental utility bey</w:t>
      </w:r>
      <w:r>
        <w:rPr>
          <w:rFonts w:ascii="Times" w:hAnsi="Times" w:cs="Times"/>
          <w:color w:val="595959"/>
          <w:sz w:val="20"/>
        </w:rPr>
        <w:t>ond conducting a targeted clinical interview related to Internet-use behaviors.</w:t>
      </w:r>
    </w:p>
    <w:p w14:paraId="0493242C" w14:textId="77777777" w:rsidR="00BE0DA4" w:rsidRDefault="00BE0DA4">
      <w:pPr>
        <w:spacing w:before="460" w:after="300"/>
      </w:pPr>
    </w:p>
    <w:p w14:paraId="1BDF5A71" w14:textId="77777777" w:rsidR="00BE0DA4" w:rsidRDefault="009F7031">
      <w:pPr>
        <w:spacing w:before="460" w:after="300"/>
      </w:pPr>
      <w:r>
        <w:rPr>
          <w:rFonts w:ascii="Times" w:hAnsi="Times" w:cs="Times"/>
          <w:color w:val="595959"/>
          <w:sz w:val="20"/>
        </w:rPr>
        <w:t>REVIEWER'S REFERENCES</w:t>
      </w:r>
    </w:p>
    <w:p w14:paraId="629D6C34" w14:textId="77777777" w:rsidR="00BE0DA4" w:rsidRDefault="00BE0DA4">
      <w:pPr>
        <w:spacing w:before="460" w:after="300"/>
      </w:pPr>
    </w:p>
    <w:p w14:paraId="4C4CE7D9" w14:textId="77777777" w:rsidR="00BE0DA4" w:rsidRDefault="009F7031">
      <w:pPr>
        <w:spacing w:before="460" w:after="300"/>
      </w:pPr>
      <w:r>
        <w:rPr>
          <w:rFonts w:ascii="Times" w:hAnsi="Times" w:cs="Times"/>
          <w:color w:val="595959"/>
          <w:sz w:val="20"/>
        </w:rPr>
        <w:t>American Educational Research Association, American Psychological Association, &amp; National Council on Measurement in Education. (2014). Standards for edu</w:t>
      </w:r>
      <w:r>
        <w:rPr>
          <w:rFonts w:ascii="Times" w:hAnsi="Times" w:cs="Times"/>
          <w:color w:val="595959"/>
          <w:sz w:val="20"/>
        </w:rPr>
        <w:t>cational and psychological testing. Washington, DC: American Educational Research Association.</w:t>
      </w:r>
    </w:p>
    <w:p w14:paraId="3D674B52" w14:textId="77777777" w:rsidR="00BE0DA4" w:rsidRDefault="00BE0DA4">
      <w:pPr>
        <w:spacing w:before="460" w:after="300"/>
      </w:pPr>
    </w:p>
    <w:p w14:paraId="3EC15A50" w14:textId="77777777" w:rsidR="00BE0DA4" w:rsidRDefault="009F7031">
      <w:pPr>
        <w:spacing w:before="460" w:after="300"/>
      </w:pPr>
      <w:r>
        <w:rPr>
          <w:rFonts w:ascii="Times" w:hAnsi="Times" w:cs="Times"/>
          <w:color w:val="595959"/>
          <w:sz w:val="20"/>
        </w:rPr>
        <w:lastRenderedPageBreak/>
        <w:t>American Psychiatric Association. (1994). Diagnostic and statistical manual of mental disorders (4th ed.). Washington, DC: Author.</w:t>
      </w:r>
    </w:p>
    <w:p w14:paraId="1AB27A85" w14:textId="77777777" w:rsidR="00BE0DA4" w:rsidRDefault="00BE0DA4">
      <w:pPr>
        <w:spacing w:before="460" w:after="300"/>
      </w:pPr>
    </w:p>
    <w:p w14:paraId="4C12F06C" w14:textId="77777777" w:rsidR="00BE0DA4" w:rsidRDefault="009F7031">
      <w:pPr>
        <w:spacing w:before="460" w:after="300"/>
      </w:pPr>
      <w:r>
        <w:rPr>
          <w:rFonts w:ascii="Times" w:hAnsi="Times" w:cs="Times"/>
          <w:color w:val="595959"/>
          <w:sz w:val="20"/>
        </w:rPr>
        <w:t>Chang, M. K., &amp; Law, S. P. M. (2008). Factor structure for Young’s Internet Addiction Test: A confirmatory study. Computers in Human Behavior, 24, 2597-2619.</w:t>
      </w:r>
    </w:p>
    <w:p w14:paraId="0D9E2A3E" w14:textId="77777777" w:rsidR="00BE0DA4" w:rsidRDefault="00BE0DA4">
      <w:pPr>
        <w:spacing w:before="460" w:after="300"/>
      </w:pPr>
    </w:p>
    <w:p w14:paraId="07C7392F" w14:textId="77777777" w:rsidR="00BE0DA4" w:rsidRDefault="009F7031">
      <w:pPr>
        <w:spacing w:before="460" w:after="300"/>
      </w:pPr>
      <w:r>
        <w:rPr>
          <w:rFonts w:ascii="Times" w:hAnsi="Times" w:cs="Times"/>
          <w:color w:val="595959"/>
          <w:sz w:val="20"/>
        </w:rPr>
        <w:t>Greenfield, D. N. (1999, August). Internet addiction: Disinhibition, accelerated intimacy, and ot</w:t>
      </w:r>
      <w:r>
        <w:rPr>
          <w:rFonts w:ascii="Times" w:hAnsi="Times" w:cs="Times"/>
          <w:color w:val="595959"/>
          <w:sz w:val="20"/>
        </w:rPr>
        <w:t>her theoretical considerations. Paper presented at the 107th annual meeting of the American Psychological Association, Boston, MA.</w:t>
      </w:r>
    </w:p>
    <w:p w14:paraId="00E97D72" w14:textId="77777777" w:rsidR="00BE0DA4" w:rsidRDefault="00BE0DA4">
      <w:pPr>
        <w:spacing w:before="460" w:after="300"/>
      </w:pPr>
    </w:p>
    <w:p w14:paraId="187E28D4" w14:textId="77777777" w:rsidR="00BE0DA4" w:rsidRDefault="009F7031">
      <w:pPr>
        <w:spacing w:before="460" w:after="300"/>
      </w:pPr>
      <w:proofErr w:type="spellStart"/>
      <w:r>
        <w:rPr>
          <w:rFonts w:ascii="Times" w:hAnsi="Times" w:cs="Times"/>
          <w:color w:val="595959"/>
          <w:sz w:val="20"/>
        </w:rPr>
        <w:t>Hunsley</w:t>
      </w:r>
      <w:proofErr w:type="spellEnd"/>
      <w:r>
        <w:rPr>
          <w:rFonts w:ascii="Times" w:hAnsi="Times" w:cs="Times"/>
          <w:color w:val="595959"/>
          <w:sz w:val="20"/>
        </w:rPr>
        <w:t>, J., &amp; Mash, E. J. (2018). A guide to assessments that work (2nd ed.). New York, NY: Oxford University Press.</w:t>
      </w:r>
    </w:p>
    <w:p w14:paraId="3AF0F926" w14:textId="77777777" w:rsidR="00BE0DA4" w:rsidRDefault="00BE0DA4">
      <w:pPr>
        <w:spacing w:before="460" w:after="300"/>
      </w:pPr>
    </w:p>
    <w:p w14:paraId="49930B9F" w14:textId="77777777" w:rsidR="00BE0DA4" w:rsidRDefault="009F7031">
      <w:pPr>
        <w:spacing w:before="460" w:after="300"/>
      </w:pPr>
      <w:proofErr w:type="spellStart"/>
      <w:r>
        <w:rPr>
          <w:rFonts w:ascii="Times" w:hAnsi="Times" w:cs="Times"/>
          <w:color w:val="595959"/>
          <w:sz w:val="20"/>
        </w:rPr>
        <w:t>Jelen</w:t>
      </w:r>
      <w:r>
        <w:rPr>
          <w:rFonts w:ascii="Times" w:hAnsi="Times" w:cs="Times"/>
          <w:color w:val="595959"/>
          <w:sz w:val="20"/>
        </w:rPr>
        <w:t>chick</w:t>
      </w:r>
      <w:proofErr w:type="spellEnd"/>
      <w:r>
        <w:rPr>
          <w:rFonts w:ascii="Times" w:hAnsi="Times" w:cs="Times"/>
          <w:color w:val="595959"/>
          <w:sz w:val="20"/>
        </w:rPr>
        <w:t>, L. A., Becker, T., &amp; Moreno, M. A. (2012). Assessing the psychometric properties of the Internet Addiction Test (IAT) in US college students. Psychiatry Research, 196, 296-301.</w:t>
      </w:r>
    </w:p>
    <w:p w14:paraId="2931A8A2" w14:textId="77777777" w:rsidR="00BE0DA4" w:rsidRDefault="00BE0DA4">
      <w:pPr>
        <w:spacing w:before="460" w:after="300"/>
      </w:pPr>
    </w:p>
    <w:p w14:paraId="711F0878" w14:textId="77777777" w:rsidR="00BE0DA4" w:rsidRDefault="009F7031">
      <w:pPr>
        <w:spacing w:before="460" w:after="300"/>
      </w:pPr>
      <w:proofErr w:type="spellStart"/>
      <w:r>
        <w:rPr>
          <w:rFonts w:ascii="Times" w:hAnsi="Times" w:cs="Times"/>
          <w:color w:val="595959"/>
          <w:sz w:val="20"/>
        </w:rPr>
        <w:t>Khazaal</w:t>
      </w:r>
      <w:proofErr w:type="spellEnd"/>
      <w:r>
        <w:rPr>
          <w:rFonts w:ascii="Times" w:hAnsi="Times" w:cs="Times"/>
          <w:color w:val="595959"/>
          <w:sz w:val="20"/>
        </w:rPr>
        <w:t xml:space="preserve">, Y., </w:t>
      </w:r>
      <w:proofErr w:type="spellStart"/>
      <w:r>
        <w:rPr>
          <w:rFonts w:ascii="Times" w:hAnsi="Times" w:cs="Times"/>
          <w:color w:val="595959"/>
          <w:sz w:val="20"/>
        </w:rPr>
        <w:t>Billieux</w:t>
      </w:r>
      <w:proofErr w:type="spellEnd"/>
      <w:r>
        <w:rPr>
          <w:rFonts w:ascii="Times" w:hAnsi="Times" w:cs="Times"/>
          <w:color w:val="595959"/>
          <w:sz w:val="20"/>
        </w:rPr>
        <w:t xml:space="preserve">, J., </w:t>
      </w:r>
      <w:proofErr w:type="spellStart"/>
      <w:r>
        <w:rPr>
          <w:rFonts w:ascii="Times" w:hAnsi="Times" w:cs="Times"/>
          <w:color w:val="595959"/>
          <w:sz w:val="20"/>
        </w:rPr>
        <w:t>Thorens</w:t>
      </w:r>
      <w:proofErr w:type="spellEnd"/>
      <w:r>
        <w:rPr>
          <w:rFonts w:ascii="Times" w:hAnsi="Times" w:cs="Times"/>
          <w:color w:val="595959"/>
          <w:sz w:val="20"/>
        </w:rPr>
        <w:t xml:space="preserve">, G., Khan, R., </w:t>
      </w:r>
      <w:proofErr w:type="spellStart"/>
      <w:r>
        <w:rPr>
          <w:rFonts w:ascii="Times" w:hAnsi="Times" w:cs="Times"/>
          <w:color w:val="595959"/>
          <w:sz w:val="20"/>
        </w:rPr>
        <w:t>Louati</w:t>
      </w:r>
      <w:proofErr w:type="spellEnd"/>
      <w:r>
        <w:rPr>
          <w:rFonts w:ascii="Times" w:hAnsi="Times" w:cs="Times"/>
          <w:color w:val="595959"/>
          <w:sz w:val="20"/>
        </w:rPr>
        <w:t>, Y., Scarlatti</w:t>
      </w:r>
      <w:r>
        <w:rPr>
          <w:rFonts w:ascii="Times" w:hAnsi="Times" w:cs="Times"/>
          <w:color w:val="595959"/>
          <w:sz w:val="20"/>
        </w:rPr>
        <w:t xml:space="preserve">, E., ... </w:t>
      </w:r>
      <w:proofErr w:type="spellStart"/>
      <w:r>
        <w:rPr>
          <w:rFonts w:ascii="Times" w:hAnsi="Times" w:cs="Times"/>
          <w:color w:val="595959"/>
          <w:sz w:val="20"/>
        </w:rPr>
        <w:t>Zullino</w:t>
      </w:r>
      <w:proofErr w:type="spellEnd"/>
      <w:r>
        <w:rPr>
          <w:rFonts w:ascii="Times" w:hAnsi="Times" w:cs="Times"/>
          <w:color w:val="595959"/>
          <w:sz w:val="20"/>
        </w:rPr>
        <w:t xml:space="preserve">, D. (2008). French validation of the Internet Addiction Test. </w:t>
      </w:r>
      <w:proofErr w:type="spellStart"/>
      <w:r>
        <w:rPr>
          <w:rFonts w:ascii="Times" w:hAnsi="Times" w:cs="Times"/>
          <w:color w:val="595959"/>
          <w:sz w:val="20"/>
        </w:rPr>
        <w:t>CyberPsychology</w:t>
      </w:r>
      <w:proofErr w:type="spellEnd"/>
      <w:r>
        <w:rPr>
          <w:rFonts w:ascii="Times" w:hAnsi="Times" w:cs="Times"/>
          <w:color w:val="595959"/>
          <w:sz w:val="20"/>
        </w:rPr>
        <w:t xml:space="preserve"> &amp; Behavior, 11, 703-706.</w:t>
      </w:r>
    </w:p>
    <w:p w14:paraId="4E94D795" w14:textId="77777777" w:rsidR="00BE0DA4" w:rsidRDefault="00BE0DA4">
      <w:pPr>
        <w:spacing w:before="460" w:after="300"/>
      </w:pPr>
    </w:p>
    <w:p w14:paraId="3F1F4FDD" w14:textId="77777777" w:rsidR="00BE0DA4" w:rsidRDefault="009F7031">
      <w:pPr>
        <w:spacing w:before="460" w:after="300"/>
      </w:pPr>
      <w:proofErr w:type="spellStart"/>
      <w:r>
        <w:rPr>
          <w:rFonts w:ascii="Times" w:hAnsi="Times" w:cs="Times"/>
          <w:color w:val="595959"/>
          <w:sz w:val="20"/>
        </w:rPr>
        <w:t>Korkeila</w:t>
      </w:r>
      <w:proofErr w:type="spellEnd"/>
      <w:r>
        <w:rPr>
          <w:rFonts w:ascii="Times" w:hAnsi="Times" w:cs="Times"/>
          <w:color w:val="595959"/>
          <w:sz w:val="20"/>
        </w:rPr>
        <w:t xml:space="preserve">, J., </w:t>
      </w:r>
      <w:proofErr w:type="spellStart"/>
      <w:r>
        <w:rPr>
          <w:rFonts w:ascii="Times" w:hAnsi="Times" w:cs="Times"/>
          <w:color w:val="595959"/>
          <w:sz w:val="20"/>
        </w:rPr>
        <w:t>Kaarlas</w:t>
      </w:r>
      <w:proofErr w:type="spellEnd"/>
      <w:r>
        <w:rPr>
          <w:rFonts w:ascii="Times" w:hAnsi="Times" w:cs="Times"/>
          <w:color w:val="595959"/>
          <w:sz w:val="20"/>
        </w:rPr>
        <w:t xml:space="preserve">, S., </w:t>
      </w:r>
      <w:proofErr w:type="spellStart"/>
      <w:r>
        <w:rPr>
          <w:rFonts w:ascii="Times" w:hAnsi="Times" w:cs="Times"/>
          <w:color w:val="595959"/>
          <w:sz w:val="20"/>
        </w:rPr>
        <w:t>Jääskeläinen</w:t>
      </w:r>
      <w:proofErr w:type="spellEnd"/>
      <w:r>
        <w:rPr>
          <w:rFonts w:ascii="Times" w:hAnsi="Times" w:cs="Times"/>
          <w:color w:val="595959"/>
          <w:sz w:val="20"/>
        </w:rPr>
        <w:t xml:space="preserve">, M., </w:t>
      </w:r>
      <w:proofErr w:type="spellStart"/>
      <w:r>
        <w:rPr>
          <w:rFonts w:ascii="Times" w:hAnsi="Times" w:cs="Times"/>
          <w:color w:val="595959"/>
          <w:sz w:val="20"/>
        </w:rPr>
        <w:t>Vahlberg</w:t>
      </w:r>
      <w:proofErr w:type="spellEnd"/>
      <w:r>
        <w:rPr>
          <w:rFonts w:ascii="Times" w:hAnsi="Times" w:cs="Times"/>
          <w:color w:val="595959"/>
          <w:sz w:val="20"/>
        </w:rPr>
        <w:t xml:space="preserve">, T., &amp; </w:t>
      </w:r>
      <w:proofErr w:type="spellStart"/>
      <w:r>
        <w:rPr>
          <w:rFonts w:ascii="Times" w:hAnsi="Times" w:cs="Times"/>
          <w:color w:val="595959"/>
          <w:sz w:val="20"/>
        </w:rPr>
        <w:t>Taiminen</w:t>
      </w:r>
      <w:proofErr w:type="spellEnd"/>
      <w:r>
        <w:rPr>
          <w:rFonts w:ascii="Times" w:hAnsi="Times" w:cs="Times"/>
          <w:color w:val="595959"/>
          <w:sz w:val="20"/>
        </w:rPr>
        <w:t xml:space="preserve">, T. (2010). Attached to the web—harmful use of the Internet and </w:t>
      </w:r>
      <w:r>
        <w:rPr>
          <w:rFonts w:ascii="Times" w:hAnsi="Times" w:cs="Times"/>
          <w:color w:val="595959"/>
          <w:sz w:val="20"/>
        </w:rPr>
        <w:t>its correlates. European Psychiatry, 25, 236-241.</w:t>
      </w:r>
    </w:p>
    <w:p w14:paraId="2F4797DE" w14:textId="77777777" w:rsidR="00BE0DA4" w:rsidRDefault="00BE0DA4">
      <w:pPr>
        <w:spacing w:before="460" w:after="300"/>
      </w:pPr>
    </w:p>
    <w:p w14:paraId="6899FD88" w14:textId="77777777" w:rsidR="00BE0DA4" w:rsidRDefault="009F7031">
      <w:pPr>
        <w:spacing w:before="460" w:after="300"/>
      </w:pPr>
      <w:r>
        <w:rPr>
          <w:rFonts w:ascii="Times" w:hAnsi="Times" w:cs="Times"/>
          <w:color w:val="595959"/>
          <w:sz w:val="20"/>
        </w:rPr>
        <w:t xml:space="preserve">Watters, C. A., Keefer, K. V., </w:t>
      </w:r>
      <w:proofErr w:type="spellStart"/>
      <w:r>
        <w:rPr>
          <w:rFonts w:ascii="Times" w:hAnsi="Times" w:cs="Times"/>
          <w:color w:val="595959"/>
          <w:sz w:val="20"/>
        </w:rPr>
        <w:t>Kloosterman</w:t>
      </w:r>
      <w:proofErr w:type="spellEnd"/>
      <w:r>
        <w:rPr>
          <w:rFonts w:ascii="Times" w:hAnsi="Times" w:cs="Times"/>
          <w:color w:val="595959"/>
          <w:sz w:val="20"/>
        </w:rPr>
        <w:t xml:space="preserve">, P. H., </w:t>
      </w:r>
      <w:proofErr w:type="spellStart"/>
      <w:r>
        <w:rPr>
          <w:rFonts w:ascii="Times" w:hAnsi="Times" w:cs="Times"/>
          <w:color w:val="595959"/>
          <w:sz w:val="20"/>
        </w:rPr>
        <w:t>Summerfeldt</w:t>
      </w:r>
      <w:proofErr w:type="spellEnd"/>
      <w:r>
        <w:rPr>
          <w:rFonts w:ascii="Times" w:hAnsi="Times" w:cs="Times"/>
          <w:color w:val="595959"/>
          <w:sz w:val="20"/>
        </w:rPr>
        <w:t xml:space="preserve">, L. J., &amp; Parker, J. D. A. (2013). Examining the structure of the Internet Addiction Test in </w:t>
      </w:r>
      <w:r>
        <w:rPr>
          <w:rFonts w:ascii="Times" w:hAnsi="Times" w:cs="Times"/>
          <w:b/>
          <w:color w:val="595959"/>
          <w:sz w:val="20"/>
        </w:rPr>
        <w:t>adolescents</w:t>
      </w:r>
      <w:r>
        <w:rPr>
          <w:rFonts w:ascii="Times" w:hAnsi="Times" w:cs="Times"/>
          <w:color w:val="595959"/>
          <w:sz w:val="20"/>
        </w:rPr>
        <w:t xml:space="preserve">: A </w:t>
      </w:r>
      <w:proofErr w:type="spellStart"/>
      <w:r>
        <w:rPr>
          <w:rFonts w:ascii="Times" w:hAnsi="Times" w:cs="Times"/>
          <w:color w:val="595959"/>
          <w:sz w:val="20"/>
        </w:rPr>
        <w:t>bifactor</w:t>
      </w:r>
      <w:proofErr w:type="spellEnd"/>
      <w:r>
        <w:rPr>
          <w:rFonts w:ascii="Times" w:hAnsi="Times" w:cs="Times"/>
          <w:color w:val="595959"/>
          <w:sz w:val="20"/>
        </w:rPr>
        <w:t xml:space="preserve"> approach. Computers in Hu</w:t>
      </w:r>
      <w:r>
        <w:rPr>
          <w:rFonts w:ascii="Times" w:hAnsi="Times" w:cs="Times"/>
          <w:color w:val="595959"/>
          <w:sz w:val="20"/>
        </w:rPr>
        <w:t>man Behavior, 29, 2294-2302.</w:t>
      </w:r>
    </w:p>
    <w:p w14:paraId="76A03B18" w14:textId="77777777" w:rsidR="00BE0DA4" w:rsidRDefault="00BE0DA4">
      <w:pPr>
        <w:spacing w:before="460" w:after="300"/>
      </w:pPr>
    </w:p>
    <w:p w14:paraId="7C080F1C" w14:textId="77777777" w:rsidR="00BE0DA4" w:rsidRDefault="009F7031">
      <w:pPr>
        <w:spacing w:before="460" w:after="300"/>
      </w:pPr>
      <w:proofErr w:type="spellStart"/>
      <w:r>
        <w:rPr>
          <w:rFonts w:ascii="Times" w:hAnsi="Times" w:cs="Times"/>
          <w:color w:val="595959"/>
          <w:sz w:val="20"/>
        </w:rPr>
        <w:t>Widyanto</w:t>
      </w:r>
      <w:proofErr w:type="spellEnd"/>
      <w:r>
        <w:rPr>
          <w:rFonts w:ascii="Times" w:hAnsi="Times" w:cs="Times"/>
          <w:color w:val="595959"/>
          <w:sz w:val="20"/>
        </w:rPr>
        <w:t xml:space="preserve">, L., &amp; </w:t>
      </w:r>
      <w:proofErr w:type="spellStart"/>
      <w:r>
        <w:rPr>
          <w:rFonts w:ascii="Times" w:hAnsi="Times" w:cs="Times"/>
          <w:color w:val="595959"/>
          <w:sz w:val="20"/>
        </w:rPr>
        <w:t>McMurran</w:t>
      </w:r>
      <w:proofErr w:type="spellEnd"/>
      <w:r>
        <w:rPr>
          <w:rFonts w:ascii="Times" w:hAnsi="Times" w:cs="Times"/>
          <w:color w:val="595959"/>
          <w:sz w:val="20"/>
        </w:rPr>
        <w:t xml:space="preserve">, M. (2004). The psychometric properties of the Internet Addiction Test. </w:t>
      </w:r>
      <w:proofErr w:type="spellStart"/>
      <w:r>
        <w:rPr>
          <w:rFonts w:ascii="Times" w:hAnsi="Times" w:cs="Times"/>
          <w:color w:val="595959"/>
          <w:sz w:val="20"/>
        </w:rPr>
        <w:t>CyberPsychology</w:t>
      </w:r>
      <w:proofErr w:type="spellEnd"/>
      <w:r>
        <w:rPr>
          <w:rFonts w:ascii="Times" w:hAnsi="Times" w:cs="Times"/>
          <w:color w:val="595959"/>
          <w:sz w:val="20"/>
        </w:rPr>
        <w:t xml:space="preserve"> &amp; Behavior, 7, 443-450.</w:t>
      </w:r>
    </w:p>
    <w:p w14:paraId="5C38AE11" w14:textId="77777777" w:rsidR="00BE0DA4" w:rsidRDefault="00BE0DA4">
      <w:pPr>
        <w:spacing w:before="460" w:after="300"/>
      </w:pPr>
    </w:p>
    <w:p w14:paraId="057A96A0" w14:textId="77777777" w:rsidR="00BE0DA4" w:rsidRDefault="009F7031">
      <w:pPr>
        <w:spacing w:before="460" w:after="300"/>
      </w:pPr>
      <w:r>
        <w:rPr>
          <w:rFonts w:ascii="Times" w:hAnsi="Times" w:cs="Times"/>
          <w:color w:val="595959"/>
          <w:sz w:val="20"/>
        </w:rPr>
        <w:t xml:space="preserve">Young, K. S. (1998). Internet addiction: The emergence of a new clinical disorder. </w:t>
      </w:r>
      <w:proofErr w:type="spellStart"/>
      <w:r>
        <w:rPr>
          <w:rFonts w:ascii="Times" w:hAnsi="Times" w:cs="Times"/>
          <w:color w:val="595959"/>
          <w:sz w:val="20"/>
        </w:rPr>
        <w:t>Cyber</w:t>
      </w:r>
      <w:r>
        <w:rPr>
          <w:rFonts w:ascii="Times" w:hAnsi="Times" w:cs="Times"/>
          <w:color w:val="595959"/>
          <w:sz w:val="20"/>
        </w:rPr>
        <w:t>Psychology</w:t>
      </w:r>
      <w:proofErr w:type="spellEnd"/>
      <w:r>
        <w:rPr>
          <w:rFonts w:ascii="Times" w:hAnsi="Times" w:cs="Times"/>
          <w:color w:val="595959"/>
          <w:sz w:val="20"/>
        </w:rPr>
        <w:t xml:space="preserve"> &amp; Behavior, 1, 237-244.</w:t>
      </w:r>
    </w:p>
    <w:p w14:paraId="4AF12070" w14:textId="77777777" w:rsidR="00BE0DA4" w:rsidRDefault="00BE0DA4"/>
    <w:p w14:paraId="1F7637E4" w14:textId="77777777" w:rsidR="00BE0DA4" w:rsidRDefault="00BE0DA4"/>
    <w:p w14:paraId="154AD915" w14:textId="77777777" w:rsidR="00BE0DA4" w:rsidRDefault="009F7031">
      <w:pPr>
        <w:spacing w:before="460" w:after="300"/>
      </w:pPr>
      <w:r>
        <w:rPr>
          <w:rFonts w:ascii="Times" w:hAnsi="Times" w:cs="Times"/>
          <w:i/>
          <w:color w:val="595959"/>
          <w:sz w:val="20"/>
        </w:rPr>
        <w:t>Review of the Internet Addiction Test and Internet Addiction Test for Families by SUZANNE YOUNG, Professor of Educational Research, University of Wyoming, Laramie, WY:</w:t>
      </w:r>
    </w:p>
    <w:p w14:paraId="7376B765" w14:textId="77777777" w:rsidR="00BE0DA4" w:rsidRDefault="00BE0DA4">
      <w:pPr>
        <w:spacing w:before="460" w:after="300"/>
      </w:pPr>
    </w:p>
    <w:p w14:paraId="2C668372" w14:textId="77777777" w:rsidR="00BE0DA4" w:rsidRDefault="009F7031">
      <w:pPr>
        <w:spacing w:before="460" w:after="300"/>
      </w:pPr>
      <w:r>
        <w:rPr>
          <w:rFonts w:ascii="Times" w:hAnsi="Times" w:cs="Times"/>
          <w:color w:val="595959"/>
          <w:sz w:val="20"/>
        </w:rPr>
        <w:t xml:space="preserve">DESCRIPTION. The Internet Addiction Test (IAT) and Internet Addiction Test for Families (IAT-F) were published in 2017. The purpose of the IAT is to assess Internet addiction in adults and </w:t>
      </w:r>
      <w:r>
        <w:rPr>
          <w:rFonts w:ascii="Times" w:hAnsi="Times" w:cs="Times"/>
          <w:b/>
          <w:color w:val="595959"/>
          <w:sz w:val="20"/>
        </w:rPr>
        <w:t>adolescents</w:t>
      </w:r>
      <w:r>
        <w:rPr>
          <w:rFonts w:ascii="Times" w:hAnsi="Times" w:cs="Times"/>
          <w:color w:val="595959"/>
          <w:sz w:val="20"/>
        </w:rPr>
        <w:t>; similarly, the IAT-F is used for adults to assess Inte</w:t>
      </w:r>
      <w:r>
        <w:rPr>
          <w:rFonts w:ascii="Times" w:hAnsi="Times" w:cs="Times"/>
          <w:color w:val="595959"/>
          <w:sz w:val="20"/>
        </w:rPr>
        <w:t>rnet addiction in children. The IAT-F consists of the Parent-Child Internet Addiction Test (PCIAT) and the Problematic and Risky Media Use in Children Checklist.</w:t>
      </w:r>
    </w:p>
    <w:p w14:paraId="73CD79AA" w14:textId="77777777" w:rsidR="00BE0DA4" w:rsidRDefault="00BE0DA4">
      <w:pPr>
        <w:spacing w:before="460" w:after="300"/>
      </w:pPr>
    </w:p>
    <w:p w14:paraId="2CC15303" w14:textId="77777777" w:rsidR="00BE0DA4" w:rsidRDefault="009F7031">
      <w:pPr>
        <w:spacing w:before="460" w:after="300"/>
      </w:pPr>
      <w:commentRangeStart w:id="18"/>
      <w:r>
        <w:rPr>
          <w:rFonts w:ascii="Times" w:hAnsi="Times" w:cs="Times"/>
          <w:color w:val="595959"/>
          <w:sz w:val="20"/>
        </w:rPr>
        <w:t>The IAT should be administered by a professional or paraprofessional who has clinical experie</w:t>
      </w:r>
      <w:r>
        <w:rPr>
          <w:rFonts w:ascii="Times" w:hAnsi="Times" w:cs="Times"/>
          <w:color w:val="595959"/>
          <w:sz w:val="20"/>
        </w:rPr>
        <w:t>nce. The test, which can be completed in 5 to 15 minutes, can be administered individually or in groups, either self-administered or with verbal assistance from the examiner. The examinees must be able to read and comprehend the instructions and test items</w:t>
      </w:r>
      <w:r>
        <w:rPr>
          <w:rFonts w:ascii="Times" w:hAnsi="Times" w:cs="Times"/>
          <w:color w:val="595959"/>
          <w:sz w:val="20"/>
        </w:rPr>
        <w:t>, which are designed for reading at a minimum of seventh grade reading level. If examinees are unable to understand instructions, the examiner is expected to administer directions verbally. The test includes a cover page with personal information as well a</w:t>
      </w:r>
      <w:r>
        <w:rPr>
          <w:rFonts w:ascii="Times" w:hAnsi="Times" w:cs="Times"/>
          <w:color w:val="595959"/>
          <w:sz w:val="20"/>
        </w:rPr>
        <w:t>s information about the amount of time spent on various Internet activities. The cover page is followed by a 20-item set of statements related to Internet addiction. The examinee is asked to rate each item on a frequency scale from rarely (1) to always (5)</w:t>
      </w:r>
      <w:r>
        <w:rPr>
          <w:rFonts w:ascii="Times" w:hAnsi="Times" w:cs="Times"/>
          <w:color w:val="595959"/>
          <w:sz w:val="20"/>
        </w:rPr>
        <w:t>. Scoring is accomplished by totaling all ratings, yielding an overall score that ranges from 0 to 100. The total score provides an indication of the severity of Internet addiction and problems with Internet use and is interpreted as normal, mild, moderate</w:t>
      </w:r>
      <w:r>
        <w:rPr>
          <w:rFonts w:ascii="Times" w:hAnsi="Times" w:cs="Times"/>
          <w:color w:val="595959"/>
          <w:sz w:val="20"/>
        </w:rPr>
        <w:t>, or severe. In addition, average scores for six groups of items are calculated so that the examiner may further assess Internet addiction. The six groups of items are the following: Salience (5 items), Excessive Use (5 items), Neglect Work (3 items), Anti</w:t>
      </w:r>
      <w:r>
        <w:rPr>
          <w:rFonts w:ascii="Times" w:hAnsi="Times" w:cs="Times"/>
          <w:color w:val="595959"/>
          <w:sz w:val="20"/>
        </w:rPr>
        <w:t xml:space="preserve">cipation (2 items), Lack of Control (3 items), and Neglect Social Life (2 items). The averages for each group of items are rounded to the nearest whole number and interpreted by using the anchor descriptors for the scale (rarely, occasionally, frequently, </w:t>
      </w:r>
      <w:r>
        <w:rPr>
          <w:rFonts w:ascii="Times" w:hAnsi="Times" w:cs="Times"/>
          <w:color w:val="595959"/>
          <w:sz w:val="20"/>
        </w:rPr>
        <w:t>often, and always). The examiner interprets the scores along with consideration of other disorders that may be present.</w:t>
      </w:r>
      <w:commentRangeEnd w:id="18"/>
      <w:r w:rsidR="00C93177">
        <w:rPr>
          <w:rStyle w:val="CommentReference"/>
        </w:rPr>
        <w:commentReference w:id="18"/>
      </w:r>
    </w:p>
    <w:p w14:paraId="0F9A756E" w14:textId="77777777" w:rsidR="00BE0DA4" w:rsidRDefault="00BE0DA4">
      <w:pPr>
        <w:spacing w:before="460" w:after="300"/>
      </w:pPr>
    </w:p>
    <w:p w14:paraId="3397C08C" w14:textId="77777777" w:rsidR="00BE0DA4" w:rsidRDefault="009F7031">
      <w:pPr>
        <w:spacing w:before="460" w:after="300"/>
      </w:pPr>
      <w:r>
        <w:rPr>
          <w:rFonts w:ascii="Times" w:hAnsi="Times" w:cs="Times"/>
          <w:color w:val="595959"/>
          <w:sz w:val="20"/>
        </w:rPr>
        <w:lastRenderedPageBreak/>
        <w:t>The PCIAT is completed by a parent (or another adult) of children 12 to 18 years old, either individually or in groups. The test is eit</w:t>
      </w:r>
      <w:r>
        <w:rPr>
          <w:rFonts w:ascii="Times" w:hAnsi="Times" w:cs="Times"/>
          <w:color w:val="595959"/>
          <w:sz w:val="20"/>
        </w:rPr>
        <w:t>her self-administered or administered orally, for those with difficulties in understanding the written instructions and items. Similar to the IAT, the examiner must determine whether respondents can understand the written information; if respondents are un</w:t>
      </w:r>
      <w:r>
        <w:rPr>
          <w:rFonts w:ascii="Times" w:hAnsi="Times" w:cs="Times"/>
          <w:color w:val="595959"/>
          <w:sz w:val="20"/>
        </w:rPr>
        <w:t>able to understand the information, the test should be administered orally. The test requires 5 to 10 minutes if self-administered and approximately 15 minutes if administered orally. Examinees are first asked to complete the child’s personal information a</w:t>
      </w:r>
      <w:r>
        <w:rPr>
          <w:rFonts w:ascii="Times" w:hAnsi="Times" w:cs="Times"/>
          <w:color w:val="595959"/>
          <w:sz w:val="20"/>
        </w:rPr>
        <w:t>nd to estimate the percentage of time that the child spends on the Internet engaging in certain types of activities such as instant messaging, emailing, and shopping. The PCIAT items are rated using a scale from rarely (1) to always (5). It includes 20 ite</w:t>
      </w:r>
      <w:r>
        <w:rPr>
          <w:rFonts w:ascii="Times" w:hAnsi="Times" w:cs="Times"/>
          <w:color w:val="595959"/>
          <w:sz w:val="20"/>
        </w:rPr>
        <w:t>ms, and the examiner computes a total for all 20 items as an indication of the severity of the child’s overall Internet addiction. The test manual provides a description for four ranges of Total scores (none, mild, moderate, and severe). In addition to the</w:t>
      </w:r>
      <w:r>
        <w:rPr>
          <w:rFonts w:ascii="Times" w:hAnsi="Times" w:cs="Times"/>
          <w:color w:val="595959"/>
          <w:sz w:val="20"/>
        </w:rPr>
        <w:t xml:space="preserve"> total score, the test items are associated with three different domains: Attention (6 items), Social Behavior (8 items), and Aggressive Behavior (8 items). The examiner averages the scores for each domain, rounds to the nearest whole number, and interpret</w:t>
      </w:r>
      <w:r>
        <w:rPr>
          <w:rFonts w:ascii="Times" w:hAnsi="Times" w:cs="Times"/>
          <w:color w:val="595959"/>
          <w:sz w:val="20"/>
        </w:rPr>
        <w:t>s the averages using the anchors on the frequency scale (rarely, occasionally, frequently, often, and always). The examiner interprets the scores along with consideration of other disorders that may be present as well as the child’s environment at school a</w:t>
      </w:r>
      <w:r>
        <w:rPr>
          <w:rFonts w:ascii="Times" w:hAnsi="Times" w:cs="Times"/>
          <w:color w:val="595959"/>
          <w:sz w:val="20"/>
        </w:rPr>
        <w:t>nd at home.</w:t>
      </w:r>
    </w:p>
    <w:p w14:paraId="5FC28E8D" w14:textId="77777777" w:rsidR="00BE0DA4" w:rsidRDefault="00BE0DA4">
      <w:pPr>
        <w:spacing w:before="460" w:after="300"/>
      </w:pPr>
    </w:p>
    <w:p w14:paraId="45E3B34E" w14:textId="77777777" w:rsidR="00BE0DA4" w:rsidRDefault="009F7031">
      <w:pPr>
        <w:spacing w:before="460" w:after="300"/>
      </w:pPr>
      <w:r>
        <w:rPr>
          <w:rFonts w:ascii="Times" w:hAnsi="Times" w:cs="Times"/>
          <w:color w:val="595959"/>
          <w:sz w:val="20"/>
        </w:rPr>
        <w:t>The Problematic and Risky Media Use in Children Checklist is designed to assess screen or device use for children ages 3 to 11. It is completed by parents or other adults, individually or in small groups. Similar to the PCIAT, respondents’ rea</w:t>
      </w:r>
      <w:r>
        <w:rPr>
          <w:rFonts w:ascii="Times" w:hAnsi="Times" w:cs="Times"/>
          <w:color w:val="595959"/>
          <w:sz w:val="20"/>
        </w:rPr>
        <w:t>ding abilities should be evaluated to determine whether the checklist should be self-administered or administered verbally. Respondents are asked to complete the personal information sheet for the child and then to complete the checklist. They choose yes o</w:t>
      </w:r>
      <w:r>
        <w:rPr>
          <w:rFonts w:ascii="Times" w:hAnsi="Times" w:cs="Times"/>
          <w:color w:val="595959"/>
          <w:sz w:val="20"/>
        </w:rPr>
        <w:t>r no for each of the eight items on the checklist; three or more items that are checked yes indicate problematic or risky behavior, potentially leading to Internet addiction in adolescence. Both the PCIAT and the Problematic and Risky Media Use in Children</w:t>
      </w:r>
      <w:r>
        <w:rPr>
          <w:rFonts w:ascii="Times" w:hAnsi="Times" w:cs="Times"/>
          <w:color w:val="595959"/>
          <w:sz w:val="20"/>
        </w:rPr>
        <w:t xml:space="preserve"> Checklist should be administered by a qualified clinician if the tests are being used for diagnosis. If the goal is for screening, they may be administered by others such as parents or teachers.</w:t>
      </w:r>
    </w:p>
    <w:p w14:paraId="4B628962" w14:textId="77777777" w:rsidR="00BE0DA4" w:rsidRDefault="00BE0DA4">
      <w:pPr>
        <w:spacing w:before="460" w:after="300"/>
      </w:pPr>
    </w:p>
    <w:p w14:paraId="1E3D4A79" w14:textId="77777777" w:rsidR="00BE0DA4" w:rsidRDefault="009F7031">
      <w:pPr>
        <w:spacing w:before="460" w:after="300"/>
      </w:pPr>
      <w:r>
        <w:rPr>
          <w:rFonts w:ascii="Times" w:hAnsi="Times" w:cs="Times"/>
          <w:color w:val="595959"/>
          <w:sz w:val="20"/>
        </w:rPr>
        <w:t>DEVELOPMENT. The IAT was developed based on the Internet Ad</w:t>
      </w:r>
      <w:r>
        <w:rPr>
          <w:rFonts w:ascii="Times" w:hAnsi="Times" w:cs="Times"/>
          <w:color w:val="595959"/>
          <w:sz w:val="20"/>
        </w:rPr>
        <w:t>diction Diagnostic Questionnaire (IADQ) along with research on compulsive online behaviors. The IADQ was developed in the late 1990s by Kimberly Young (Young, 1998) and initially titled Diagnostic Questionnaire (DQ) to screen for addictive Internet use. Th</w:t>
      </w:r>
      <w:r>
        <w:rPr>
          <w:rFonts w:ascii="Times" w:hAnsi="Times" w:cs="Times"/>
          <w:color w:val="595959"/>
          <w:sz w:val="20"/>
        </w:rPr>
        <w:t>e IADQ was based on the fourth edition of the Diagnostic and Statistical Manual of Mental Disorders (DSM-IV; American Psychiatric Association [APA], 1994) criteria for pathological gambling.</w:t>
      </w:r>
    </w:p>
    <w:p w14:paraId="305EBD94" w14:textId="77777777" w:rsidR="00BE0DA4" w:rsidRDefault="00BE0DA4">
      <w:pPr>
        <w:spacing w:before="460" w:after="300"/>
      </w:pPr>
    </w:p>
    <w:p w14:paraId="3D9BA464" w14:textId="77777777" w:rsidR="00BE0DA4" w:rsidRDefault="009F7031">
      <w:pPr>
        <w:spacing w:before="460" w:after="300"/>
      </w:pPr>
      <w:r>
        <w:rPr>
          <w:rFonts w:ascii="Times" w:hAnsi="Times" w:cs="Times"/>
          <w:color w:val="595959"/>
          <w:sz w:val="20"/>
        </w:rPr>
        <w:t>To further support the development of the IAT, research on compu</w:t>
      </w:r>
      <w:r>
        <w:rPr>
          <w:rFonts w:ascii="Times" w:hAnsi="Times" w:cs="Times"/>
          <w:color w:val="595959"/>
          <w:sz w:val="20"/>
        </w:rPr>
        <w:t>lsive online behavior suggests that Internet addiction is related to other psychiatric disorders such as substance use disorder, attention-deficit/hyperactivity disorder, depression, hostility, and aggression (</w:t>
      </w:r>
      <w:proofErr w:type="spellStart"/>
      <w:r>
        <w:rPr>
          <w:rFonts w:ascii="Times" w:hAnsi="Times" w:cs="Times"/>
          <w:color w:val="595959"/>
          <w:sz w:val="20"/>
        </w:rPr>
        <w:t>Ko</w:t>
      </w:r>
      <w:proofErr w:type="spellEnd"/>
      <w:r>
        <w:rPr>
          <w:rFonts w:ascii="Times" w:hAnsi="Times" w:cs="Times"/>
          <w:color w:val="595959"/>
          <w:sz w:val="20"/>
        </w:rPr>
        <w:t>, Yen, Yen, Chen, &amp; Chen, 2012). Internet ad</w:t>
      </w:r>
      <w:r>
        <w:rPr>
          <w:rFonts w:ascii="Times" w:hAnsi="Times" w:cs="Times"/>
          <w:color w:val="595959"/>
          <w:sz w:val="20"/>
        </w:rPr>
        <w:t>diction appears to be difficult to assess for several reasons, most importantly because use of the Internet is integrated into many practical daily life activities. Items on the IAT were developed to differentiate normal use from compulsive use.</w:t>
      </w:r>
    </w:p>
    <w:p w14:paraId="16FE7110" w14:textId="77777777" w:rsidR="00BE0DA4" w:rsidRDefault="00BE0DA4">
      <w:pPr>
        <w:spacing w:before="460" w:after="300"/>
      </w:pPr>
    </w:p>
    <w:p w14:paraId="3A443965" w14:textId="77777777" w:rsidR="00BE0DA4" w:rsidRDefault="009F7031">
      <w:pPr>
        <w:spacing w:before="460" w:after="300"/>
      </w:pPr>
      <w:r>
        <w:rPr>
          <w:rFonts w:ascii="Times" w:hAnsi="Times" w:cs="Times"/>
          <w:color w:val="595959"/>
          <w:sz w:val="20"/>
        </w:rPr>
        <w:lastRenderedPageBreak/>
        <w:t>The PCIAT</w:t>
      </w:r>
      <w:r>
        <w:rPr>
          <w:rFonts w:ascii="Times" w:hAnsi="Times" w:cs="Times"/>
          <w:color w:val="595959"/>
          <w:sz w:val="20"/>
        </w:rPr>
        <w:t xml:space="preserve"> and the Problematic and Risky Media Use in Children Checklist were developed for use in clinical assessments of children. They were adapted from the IAT so that adults could provide perspectives on a child’s Internet use. Items on the PCIAT are very simil</w:t>
      </w:r>
      <w:r>
        <w:rPr>
          <w:rFonts w:ascii="Times" w:hAnsi="Times" w:cs="Times"/>
          <w:color w:val="595959"/>
          <w:sz w:val="20"/>
        </w:rPr>
        <w:t>ar to items on the IAT; the checklist items are less comprehensive and simpler to assess. Both assessments allow the examiner to determine whether the child’s behavior is addictive or has potential to be addictive.</w:t>
      </w:r>
    </w:p>
    <w:p w14:paraId="665AB593" w14:textId="77777777" w:rsidR="00BE0DA4" w:rsidRDefault="00BE0DA4">
      <w:pPr>
        <w:spacing w:before="460" w:after="300"/>
      </w:pPr>
    </w:p>
    <w:p w14:paraId="40F4B918" w14:textId="77777777" w:rsidR="00BE0DA4" w:rsidRDefault="009F7031">
      <w:pPr>
        <w:spacing w:before="460" w:after="300"/>
      </w:pPr>
      <w:r>
        <w:rPr>
          <w:rFonts w:ascii="Times" w:hAnsi="Times" w:cs="Times"/>
          <w:color w:val="595959"/>
          <w:sz w:val="20"/>
        </w:rPr>
        <w:t xml:space="preserve">TECHNICAL. </w:t>
      </w:r>
      <w:commentRangeStart w:id="19"/>
      <w:r>
        <w:rPr>
          <w:rFonts w:ascii="Times" w:hAnsi="Times" w:cs="Times"/>
          <w:color w:val="595959"/>
          <w:sz w:val="20"/>
        </w:rPr>
        <w:t>Validity and reliability aspe</w:t>
      </w:r>
      <w:r>
        <w:rPr>
          <w:rFonts w:ascii="Times" w:hAnsi="Times" w:cs="Times"/>
          <w:color w:val="595959"/>
          <w:sz w:val="20"/>
        </w:rPr>
        <w:t>cts of the IAT are presented in the test manual. Content evidence of validity is supported due to the thorough grounding of the items in the literature as well as the DSM-IV (APA, 1994). The test author provides additional information based on a validation</w:t>
      </w:r>
      <w:r>
        <w:rPr>
          <w:rFonts w:ascii="Times" w:hAnsi="Times" w:cs="Times"/>
          <w:color w:val="595959"/>
          <w:sz w:val="20"/>
        </w:rPr>
        <w:t xml:space="preserve"> study conducted by </w:t>
      </w:r>
      <w:proofErr w:type="spellStart"/>
      <w:r>
        <w:rPr>
          <w:rFonts w:ascii="Times" w:hAnsi="Times" w:cs="Times"/>
          <w:color w:val="595959"/>
          <w:sz w:val="20"/>
        </w:rPr>
        <w:t>Widyanto</w:t>
      </w:r>
      <w:proofErr w:type="spellEnd"/>
      <w:r>
        <w:rPr>
          <w:rFonts w:ascii="Times" w:hAnsi="Times" w:cs="Times"/>
          <w:color w:val="595959"/>
          <w:sz w:val="20"/>
        </w:rPr>
        <w:t xml:space="preserve"> and </w:t>
      </w:r>
      <w:proofErr w:type="spellStart"/>
      <w:r>
        <w:rPr>
          <w:rFonts w:ascii="Times" w:hAnsi="Times" w:cs="Times"/>
          <w:color w:val="595959"/>
          <w:sz w:val="20"/>
        </w:rPr>
        <w:t>McMurran</w:t>
      </w:r>
      <w:proofErr w:type="spellEnd"/>
      <w:r>
        <w:rPr>
          <w:rFonts w:ascii="Times" w:hAnsi="Times" w:cs="Times"/>
          <w:color w:val="595959"/>
          <w:sz w:val="20"/>
        </w:rPr>
        <w:t xml:space="preserve"> (2004). </w:t>
      </w:r>
      <w:proofErr w:type="spellStart"/>
      <w:r>
        <w:rPr>
          <w:rFonts w:ascii="Times" w:hAnsi="Times" w:cs="Times"/>
          <w:color w:val="595959"/>
          <w:sz w:val="20"/>
        </w:rPr>
        <w:t>Widyanto</w:t>
      </w:r>
      <w:proofErr w:type="spellEnd"/>
      <w:r>
        <w:rPr>
          <w:rFonts w:ascii="Times" w:hAnsi="Times" w:cs="Times"/>
          <w:color w:val="595959"/>
          <w:sz w:val="20"/>
        </w:rPr>
        <w:t xml:space="preserve"> and </w:t>
      </w:r>
      <w:proofErr w:type="spellStart"/>
      <w:r>
        <w:rPr>
          <w:rFonts w:ascii="Times" w:hAnsi="Times" w:cs="Times"/>
          <w:color w:val="595959"/>
          <w:sz w:val="20"/>
        </w:rPr>
        <w:t>McMurran</w:t>
      </w:r>
      <w:proofErr w:type="spellEnd"/>
      <w:r>
        <w:rPr>
          <w:rFonts w:ascii="Times" w:hAnsi="Times" w:cs="Times"/>
          <w:color w:val="595959"/>
          <w:sz w:val="20"/>
        </w:rPr>
        <w:t xml:space="preserve"> used a sample of 86 volunteer participants, 29 males and 57 females, who were contacted personally or via the Internet. Using a principal components extraction method with a </w:t>
      </w:r>
      <w:proofErr w:type="spellStart"/>
      <w:r>
        <w:rPr>
          <w:rFonts w:ascii="Times" w:hAnsi="Times" w:cs="Times"/>
          <w:color w:val="595959"/>
          <w:sz w:val="20"/>
        </w:rPr>
        <w:t>varimax</w:t>
      </w:r>
      <w:proofErr w:type="spellEnd"/>
      <w:r>
        <w:rPr>
          <w:rFonts w:ascii="Times" w:hAnsi="Times" w:cs="Times"/>
          <w:color w:val="595959"/>
          <w:sz w:val="20"/>
        </w:rPr>
        <w:t xml:space="preserve"> ro</w:t>
      </w:r>
      <w:r>
        <w:rPr>
          <w:rFonts w:ascii="Times" w:hAnsi="Times" w:cs="Times"/>
          <w:color w:val="595959"/>
          <w:sz w:val="20"/>
        </w:rPr>
        <w:t xml:space="preserve">tation, a factor analysis yielded six factors: Salience, Excessive Use, Neglect Work, Anticipation, Lack of Self-Control, and Neglect Social Life. The six factors explained 68.16% of the variance, with Salience explaining the most variance at 35.8%. Alpha </w:t>
      </w:r>
      <w:r>
        <w:rPr>
          <w:rFonts w:ascii="Times" w:hAnsi="Times" w:cs="Times"/>
          <w:color w:val="595959"/>
          <w:sz w:val="20"/>
        </w:rPr>
        <w:t>coefficients were determined for each factor and ranged from .54 to .82, indicating the factors were at least moderately internally consistent. Correlations were found among the six factors, the Total score, Internet use, and participant age. The six facto</w:t>
      </w:r>
      <w:r>
        <w:rPr>
          <w:rFonts w:ascii="Times" w:hAnsi="Times" w:cs="Times"/>
          <w:color w:val="595959"/>
          <w:sz w:val="20"/>
        </w:rPr>
        <w:t xml:space="preserve">rs were positively correlated with each other, with the strongest correlation of .62 between Salience and Excessive Use and the weakest correlation of .23 between Neglect Social Life and Neglect Work. Correlations between the Total score and the amount of </w:t>
      </w:r>
      <w:r>
        <w:rPr>
          <w:rFonts w:ascii="Times" w:hAnsi="Times" w:cs="Times"/>
          <w:color w:val="595959"/>
          <w:sz w:val="20"/>
        </w:rPr>
        <w:t xml:space="preserve">use suggested higher general and personal Internet use were related to an increase in problems with respondents’ Internet use. Overall, the study’s authors suggest that the IAT has strong potential as a reliable and valid measure of Internet addiction but </w:t>
      </w:r>
      <w:r>
        <w:rPr>
          <w:rFonts w:ascii="Times" w:hAnsi="Times" w:cs="Times"/>
          <w:color w:val="595959"/>
          <w:sz w:val="20"/>
        </w:rPr>
        <w:t>that it needs further testing due to the small volunteer sample.</w:t>
      </w:r>
      <w:commentRangeEnd w:id="19"/>
      <w:r w:rsidR="00A006BC">
        <w:rPr>
          <w:rStyle w:val="CommentReference"/>
        </w:rPr>
        <w:commentReference w:id="19"/>
      </w:r>
    </w:p>
    <w:p w14:paraId="076DAEC1" w14:textId="77777777" w:rsidR="00BE0DA4" w:rsidRDefault="00BE0DA4">
      <w:pPr>
        <w:spacing w:before="460" w:after="300"/>
      </w:pPr>
    </w:p>
    <w:p w14:paraId="15D5DE35" w14:textId="77777777" w:rsidR="00BE0DA4" w:rsidRDefault="009F7031">
      <w:pPr>
        <w:spacing w:before="460" w:after="300"/>
      </w:pPr>
      <w:commentRangeStart w:id="20"/>
      <w:r>
        <w:rPr>
          <w:rFonts w:ascii="Times" w:hAnsi="Times" w:cs="Times"/>
          <w:color w:val="595959"/>
          <w:sz w:val="20"/>
        </w:rPr>
        <w:t>The test manual for IAT-F offers no technical data for consideration. However, because both the PCIAT and the Problematic and Risky Media Use in Children Checklist are based on the IAT, by e</w:t>
      </w:r>
      <w:r>
        <w:rPr>
          <w:rFonts w:ascii="Times" w:hAnsi="Times" w:cs="Times"/>
          <w:color w:val="595959"/>
          <w:sz w:val="20"/>
        </w:rPr>
        <w:t xml:space="preserve">xtension there is some content evidence of validity. The reference list in the test manual provides support for research on addiction in children and </w:t>
      </w:r>
      <w:r>
        <w:rPr>
          <w:rFonts w:ascii="Times" w:hAnsi="Times" w:cs="Times"/>
          <w:b/>
          <w:color w:val="595959"/>
          <w:sz w:val="20"/>
        </w:rPr>
        <w:t>adolescents</w:t>
      </w:r>
      <w:r>
        <w:rPr>
          <w:rFonts w:ascii="Times" w:hAnsi="Times" w:cs="Times"/>
          <w:color w:val="595959"/>
          <w:sz w:val="20"/>
        </w:rPr>
        <w:t>, including Internet addiction, but research on the valid and reliable use of the PCIAT and the</w:t>
      </w:r>
      <w:r>
        <w:rPr>
          <w:rFonts w:ascii="Times" w:hAnsi="Times" w:cs="Times"/>
          <w:color w:val="595959"/>
          <w:sz w:val="20"/>
        </w:rPr>
        <w:t xml:space="preserve"> Problematic and Risky Media Use in Children Checklist is not available from the test author.</w:t>
      </w:r>
      <w:commentRangeEnd w:id="20"/>
      <w:r w:rsidR="00C11321">
        <w:rPr>
          <w:rStyle w:val="CommentReference"/>
        </w:rPr>
        <w:commentReference w:id="20"/>
      </w:r>
      <w:bookmarkStart w:id="21" w:name="_GoBack"/>
      <w:bookmarkEnd w:id="21"/>
    </w:p>
    <w:p w14:paraId="48BA64A8" w14:textId="77777777" w:rsidR="00BE0DA4" w:rsidRDefault="00BE0DA4">
      <w:pPr>
        <w:spacing w:before="460" w:after="300"/>
      </w:pPr>
    </w:p>
    <w:p w14:paraId="31B44CDC" w14:textId="77777777" w:rsidR="00BE0DA4" w:rsidRDefault="009F7031">
      <w:pPr>
        <w:spacing w:before="460" w:after="300"/>
      </w:pPr>
      <w:r>
        <w:rPr>
          <w:rFonts w:ascii="Times" w:hAnsi="Times" w:cs="Times"/>
          <w:color w:val="595959"/>
          <w:sz w:val="20"/>
        </w:rPr>
        <w:t>COMMENTARY. The IAT is designed for users to assess the degree to which they are addictive Internet users, use that may be described as normal, mild, moderate, o</w:t>
      </w:r>
      <w:r>
        <w:rPr>
          <w:rFonts w:ascii="Times" w:hAnsi="Times" w:cs="Times"/>
          <w:color w:val="595959"/>
          <w:sz w:val="20"/>
        </w:rPr>
        <w:t>r severe in its addiction. The test manual provides information on how to administer, score, and interpret results of the test. A validation study supports the technical aspects of the test for a small volunteer sample of Internet users; the authors of the</w:t>
      </w:r>
      <w:r>
        <w:rPr>
          <w:rFonts w:ascii="Times" w:hAnsi="Times" w:cs="Times"/>
          <w:color w:val="595959"/>
          <w:sz w:val="20"/>
        </w:rPr>
        <w:t xml:space="preserve"> study suggest that further research is necessary.</w:t>
      </w:r>
    </w:p>
    <w:p w14:paraId="6CF566DD" w14:textId="77777777" w:rsidR="00BE0DA4" w:rsidRDefault="00BE0DA4">
      <w:pPr>
        <w:spacing w:before="460" w:after="300"/>
      </w:pPr>
    </w:p>
    <w:p w14:paraId="1D782F6A" w14:textId="77777777" w:rsidR="00BE0DA4" w:rsidRDefault="009F7031">
      <w:pPr>
        <w:spacing w:before="460" w:after="300"/>
      </w:pPr>
      <w:r>
        <w:rPr>
          <w:rFonts w:ascii="Times" w:hAnsi="Times" w:cs="Times"/>
          <w:color w:val="595959"/>
          <w:sz w:val="20"/>
        </w:rPr>
        <w:t>The manual for the PCIAT and the Problematic and Risky Media Use in Children Checklist also provides detailed information about administering, scoring, and interpreting the two tests that together compris</w:t>
      </w:r>
      <w:r>
        <w:rPr>
          <w:rFonts w:ascii="Times" w:hAnsi="Times" w:cs="Times"/>
          <w:color w:val="595959"/>
          <w:sz w:val="20"/>
        </w:rPr>
        <w:t>e the Internet Addiction Test for Families (IAT-F). The test author notes that the two tests are adapted from the IAT but otherwise provides no validity or reliability information.</w:t>
      </w:r>
    </w:p>
    <w:p w14:paraId="26BFA431" w14:textId="77777777" w:rsidR="00BE0DA4" w:rsidRDefault="00BE0DA4">
      <w:pPr>
        <w:spacing w:before="460" w:after="300"/>
      </w:pPr>
    </w:p>
    <w:p w14:paraId="210AA57F" w14:textId="77777777" w:rsidR="00BE0DA4" w:rsidRDefault="009F7031">
      <w:pPr>
        <w:spacing w:before="460" w:after="300"/>
      </w:pPr>
      <w:r>
        <w:rPr>
          <w:rFonts w:ascii="Times" w:hAnsi="Times" w:cs="Times"/>
          <w:color w:val="595959"/>
          <w:sz w:val="20"/>
        </w:rPr>
        <w:t xml:space="preserve">SUMMARY. The IAT and the IAT-F provide test administrators an opportunity </w:t>
      </w:r>
      <w:r>
        <w:rPr>
          <w:rFonts w:ascii="Times" w:hAnsi="Times" w:cs="Times"/>
          <w:color w:val="595959"/>
          <w:sz w:val="20"/>
        </w:rPr>
        <w:t xml:space="preserve">to assess Internet addiction in children, </w:t>
      </w:r>
      <w:r>
        <w:rPr>
          <w:rFonts w:ascii="Times" w:hAnsi="Times" w:cs="Times"/>
          <w:b/>
          <w:color w:val="595959"/>
          <w:sz w:val="20"/>
        </w:rPr>
        <w:t>adolescents</w:t>
      </w:r>
      <w:r>
        <w:rPr>
          <w:rFonts w:ascii="Times" w:hAnsi="Times" w:cs="Times"/>
          <w:color w:val="595959"/>
          <w:sz w:val="20"/>
        </w:rPr>
        <w:t xml:space="preserve">, and adults. The IAT has been studied and used extensively, but it is lacking in psychometric data. Psychometric data for the PCIAT and the Problematic and Risky Media Use in Children Checklist are not </w:t>
      </w:r>
      <w:r>
        <w:rPr>
          <w:rFonts w:ascii="Times" w:hAnsi="Times" w:cs="Times"/>
          <w:color w:val="595959"/>
          <w:sz w:val="20"/>
        </w:rPr>
        <w:t xml:space="preserve">available. Additionally, the manuals for the IAT and the IAT-F contain a number of errors that can and should be easily corrected. In spite of these limitations, Internet addiction is a serious concern, especially with young children and </w:t>
      </w:r>
      <w:r>
        <w:rPr>
          <w:rFonts w:ascii="Times" w:hAnsi="Times" w:cs="Times"/>
          <w:b/>
          <w:color w:val="595959"/>
          <w:sz w:val="20"/>
        </w:rPr>
        <w:t>adolescents</w:t>
      </w:r>
      <w:r>
        <w:rPr>
          <w:rFonts w:ascii="Times" w:hAnsi="Times" w:cs="Times"/>
          <w:color w:val="595959"/>
          <w:sz w:val="20"/>
        </w:rPr>
        <w:t>, and Y</w:t>
      </w:r>
      <w:r>
        <w:rPr>
          <w:rFonts w:ascii="Times" w:hAnsi="Times" w:cs="Times"/>
          <w:color w:val="595959"/>
          <w:sz w:val="20"/>
        </w:rPr>
        <w:t>oung’s tests of Internet addiction hold great promise as strong assessments in both formal and informal settings. In summary, this reviewer highly recommends the continued development of the IAT and the IAT-F and cautions users to interpret results in comb</w:t>
      </w:r>
      <w:r>
        <w:rPr>
          <w:rFonts w:ascii="Times" w:hAnsi="Times" w:cs="Times"/>
          <w:color w:val="595959"/>
          <w:sz w:val="20"/>
        </w:rPr>
        <w:t>ination with other sources of information.</w:t>
      </w:r>
    </w:p>
    <w:p w14:paraId="307BCDBB" w14:textId="77777777" w:rsidR="00BE0DA4" w:rsidRDefault="00BE0DA4">
      <w:pPr>
        <w:spacing w:before="460" w:after="300"/>
      </w:pPr>
    </w:p>
    <w:p w14:paraId="18905B8C" w14:textId="77777777" w:rsidR="00BE0DA4" w:rsidRDefault="009F7031">
      <w:pPr>
        <w:spacing w:before="460" w:after="300"/>
      </w:pPr>
      <w:r>
        <w:rPr>
          <w:rFonts w:ascii="Times" w:hAnsi="Times" w:cs="Times"/>
          <w:color w:val="595959"/>
          <w:sz w:val="20"/>
        </w:rPr>
        <w:t>REVIEWER’S REFERENCES</w:t>
      </w:r>
    </w:p>
    <w:p w14:paraId="7514D0D0" w14:textId="77777777" w:rsidR="00BE0DA4" w:rsidRDefault="00BE0DA4"/>
    <w:p w14:paraId="3A9BBC4A" w14:textId="77777777" w:rsidR="00BE0DA4" w:rsidRDefault="00BE0DA4"/>
    <w:p w14:paraId="03933F20" w14:textId="77777777" w:rsidR="00BE0DA4" w:rsidRDefault="00BE0DA4"/>
    <w:p w14:paraId="42E952BE" w14:textId="77777777" w:rsidR="00BE0DA4" w:rsidRDefault="00BE0DA4"/>
    <w:sectPr w:rsidR="00BE0DA4">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SUS" w:date="2021-07-28T18:12:00Z" w:initials="A">
    <w:p w14:paraId="790C8946" w14:textId="3A7CF9DD" w:rsidR="005324D7" w:rsidRDefault="005324D7">
      <w:pPr>
        <w:pStyle w:val="CommentText"/>
      </w:pPr>
      <w:r>
        <w:rPr>
          <w:rStyle w:val="CommentReference"/>
        </w:rPr>
        <w:annotationRef/>
      </w:r>
      <w:r>
        <w:t xml:space="preserve">Reliability: </w:t>
      </w:r>
      <w:r w:rsidR="00805DA2">
        <w:t xml:space="preserve">Test </w:t>
      </w:r>
    </w:p>
  </w:comment>
  <w:comment w:id="1" w:author="ASUS" w:date="2021-07-28T17:50:00Z" w:initials="A">
    <w:p w14:paraId="68B23C8A" w14:textId="77777777" w:rsidR="008E11FE" w:rsidRDefault="002C59F1">
      <w:pPr>
        <w:pStyle w:val="CommentText"/>
      </w:pPr>
      <w:r>
        <w:rPr>
          <w:rStyle w:val="CommentReference"/>
        </w:rPr>
        <w:annotationRef/>
      </w:r>
    </w:p>
    <w:p w14:paraId="18C96548" w14:textId="77777777" w:rsidR="002C59F1" w:rsidRDefault="008E11FE">
      <w:pPr>
        <w:pStyle w:val="CommentText"/>
      </w:pPr>
      <w:r>
        <w:t xml:space="preserve">Reliability: Internal consistency </w:t>
      </w:r>
    </w:p>
  </w:comment>
  <w:comment w:id="2" w:author="ASUS" w:date="2021-07-28T17:56:00Z" w:initials="A">
    <w:p w14:paraId="013F4B42" w14:textId="77777777" w:rsidR="008E11FE" w:rsidRDefault="008E11FE">
      <w:pPr>
        <w:pStyle w:val="CommentText"/>
      </w:pPr>
      <w:r>
        <w:rPr>
          <w:rStyle w:val="CommentReference"/>
        </w:rPr>
        <w:annotationRef/>
      </w:r>
      <w:r>
        <w:t xml:space="preserve">Reliability: Internal structure </w:t>
      </w:r>
    </w:p>
  </w:comment>
  <w:comment w:id="3" w:author="ASUS" w:date="2021-07-28T17:58:00Z" w:initials="A">
    <w:p w14:paraId="433274DD" w14:textId="1372D447" w:rsidR="009B2A0F" w:rsidRDefault="009B2A0F">
      <w:pPr>
        <w:pStyle w:val="CommentText"/>
      </w:pPr>
      <w:r>
        <w:rPr>
          <w:rStyle w:val="CommentReference"/>
        </w:rPr>
        <w:annotationRef/>
      </w:r>
      <w:r>
        <w:t xml:space="preserve">Reliability: Interrater </w:t>
      </w:r>
    </w:p>
  </w:comment>
  <w:comment w:id="4" w:author="ASUS" w:date="2021-07-28T18:00:00Z" w:initials="A">
    <w:p w14:paraId="374673FF" w14:textId="32C9ED35" w:rsidR="009B2A0F" w:rsidRDefault="009B2A0F">
      <w:pPr>
        <w:pStyle w:val="CommentText"/>
      </w:pPr>
      <w:r>
        <w:rPr>
          <w:rStyle w:val="CommentReference"/>
        </w:rPr>
        <w:annotationRef/>
      </w:r>
      <w:r>
        <w:t xml:space="preserve">Validity: Test </w:t>
      </w:r>
    </w:p>
  </w:comment>
  <w:comment w:id="5" w:author="ASUS" w:date="2021-07-28T18:01:00Z" w:initials="A">
    <w:p w14:paraId="132A6DD9" w14:textId="16E56795" w:rsidR="00E47468" w:rsidRDefault="00E47468">
      <w:pPr>
        <w:pStyle w:val="CommentText"/>
      </w:pPr>
      <w:r>
        <w:rPr>
          <w:rStyle w:val="CommentReference"/>
        </w:rPr>
        <w:annotationRef/>
      </w:r>
      <w:r>
        <w:t xml:space="preserve">Validity: </w:t>
      </w:r>
    </w:p>
  </w:comment>
  <w:comment w:id="6" w:author="ASUS" w:date="2021-07-28T18:03:00Z" w:initials="A">
    <w:p w14:paraId="2076961F" w14:textId="32049BE8" w:rsidR="0058220E" w:rsidRDefault="0058220E">
      <w:pPr>
        <w:pStyle w:val="CommentText"/>
      </w:pPr>
      <w:r>
        <w:rPr>
          <w:rStyle w:val="CommentReference"/>
        </w:rPr>
        <w:annotationRef/>
      </w:r>
      <w:r>
        <w:t xml:space="preserve">Validity: Relationship with other measures </w:t>
      </w:r>
    </w:p>
  </w:comment>
  <w:comment w:id="7" w:author="ASUS" w:date="2021-07-28T18:05:00Z" w:initials="A">
    <w:p w14:paraId="6531316C" w14:textId="68D6B3FB" w:rsidR="00BF3946" w:rsidRDefault="00BF3946">
      <w:pPr>
        <w:pStyle w:val="CommentText"/>
      </w:pPr>
      <w:r>
        <w:rPr>
          <w:rStyle w:val="CommentReference"/>
        </w:rPr>
        <w:annotationRef/>
      </w:r>
      <w:r>
        <w:t xml:space="preserve">Validity: structural </w:t>
      </w:r>
    </w:p>
  </w:comment>
  <w:comment w:id="8" w:author="ASUS" w:date="2021-07-28T18:16:00Z" w:initials="A">
    <w:p w14:paraId="15ACC786" w14:textId="73F1BC8D" w:rsidR="00A006BC" w:rsidRDefault="00A006BC">
      <w:pPr>
        <w:pStyle w:val="CommentText"/>
      </w:pPr>
      <w:r>
        <w:rPr>
          <w:rStyle w:val="CommentReference"/>
        </w:rPr>
        <w:annotationRef/>
      </w:r>
      <w:r>
        <w:t xml:space="preserve">Validity: Content </w:t>
      </w:r>
    </w:p>
  </w:comment>
  <w:comment w:id="9" w:author="ASUS" w:date="2021-07-28T18:06:00Z" w:initials="A">
    <w:p w14:paraId="0FC397BA" w14:textId="360F5D11" w:rsidR="00BF3946" w:rsidRDefault="00BF3946">
      <w:pPr>
        <w:pStyle w:val="CommentText"/>
      </w:pPr>
      <w:r>
        <w:rPr>
          <w:rStyle w:val="CommentReference"/>
        </w:rPr>
        <w:annotationRef/>
      </w:r>
      <w:r>
        <w:t xml:space="preserve">Reliability: Internal consistency </w:t>
      </w:r>
    </w:p>
  </w:comment>
  <w:comment w:id="10" w:author="ASUS" w:date="2021-07-28T18:08:00Z" w:initials="A">
    <w:p w14:paraId="646DEBB1" w14:textId="77777777" w:rsidR="00B81767" w:rsidRDefault="00B81767">
      <w:pPr>
        <w:pStyle w:val="CommentText"/>
      </w:pPr>
      <w:r>
        <w:rPr>
          <w:rStyle w:val="CommentReference"/>
        </w:rPr>
        <w:annotationRef/>
      </w:r>
      <w:r>
        <w:t xml:space="preserve">Validity: </w:t>
      </w:r>
      <w:r w:rsidR="00877798">
        <w:t xml:space="preserve">test content </w:t>
      </w:r>
    </w:p>
    <w:p w14:paraId="0F7B9449" w14:textId="12BC7F57" w:rsidR="00877798" w:rsidRDefault="00877798">
      <w:pPr>
        <w:pStyle w:val="CommentText"/>
      </w:pPr>
    </w:p>
  </w:comment>
  <w:comment w:id="11" w:author="ASUS" w:date="2021-07-28T18:10:00Z" w:initials="A">
    <w:p w14:paraId="6D18523C" w14:textId="1EC729B2" w:rsidR="00B200D4" w:rsidRDefault="00B200D4">
      <w:pPr>
        <w:pStyle w:val="CommentText"/>
      </w:pPr>
      <w:r>
        <w:rPr>
          <w:rStyle w:val="CommentReference"/>
        </w:rPr>
        <w:annotationRef/>
      </w:r>
      <w:r>
        <w:t>Validity: Test</w:t>
      </w:r>
    </w:p>
  </w:comment>
  <w:comment w:id="12" w:author="ASUS" w:date="2021-07-28T18:37:00Z" w:initials="A">
    <w:p w14:paraId="25F40DAC" w14:textId="1EBD48C4" w:rsidR="00452F76" w:rsidRDefault="00452F76">
      <w:pPr>
        <w:pStyle w:val="CommentText"/>
      </w:pPr>
      <w:r>
        <w:rPr>
          <w:rStyle w:val="CommentReference"/>
        </w:rPr>
        <w:annotationRef/>
      </w:r>
    </w:p>
  </w:comment>
  <w:comment w:id="13" w:author="ASUS" w:date="2021-07-28T18:35:00Z" w:initials="A">
    <w:p w14:paraId="0893B738" w14:textId="233B349C" w:rsidR="00452F76" w:rsidRDefault="00452F76">
      <w:pPr>
        <w:pStyle w:val="CommentText"/>
      </w:pPr>
      <w:r>
        <w:rPr>
          <w:rStyle w:val="CommentReference"/>
        </w:rPr>
        <w:annotationRef/>
      </w:r>
      <w:r>
        <w:t xml:space="preserve">Validity: Test retest </w:t>
      </w:r>
    </w:p>
  </w:comment>
  <w:comment w:id="14" w:author="ASUS" w:date="2021-07-28T18:36:00Z" w:initials="A">
    <w:p w14:paraId="315E1B84" w14:textId="41DF134B" w:rsidR="00452F76" w:rsidRDefault="00452F76">
      <w:pPr>
        <w:pStyle w:val="CommentText"/>
      </w:pPr>
      <w:r>
        <w:rPr>
          <w:rStyle w:val="CommentReference"/>
        </w:rPr>
        <w:annotationRef/>
      </w:r>
      <w:r>
        <w:t xml:space="preserve">Validity: Relationship with other measures </w:t>
      </w:r>
    </w:p>
  </w:comment>
  <w:comment w:id="15" w:author="ASUS" w:date="2021-07-28T18:32:00Z" w:initials="A">
    <w:p w14:paraId="20EFA069" w14:textId="72823E99" w:rsidR="00D42ECD" w:rsidRDefault="00D42ECD">
      <w:pPr>
        <w:pStyle w:val="CommentText"/>
      </w:pPr>
      <w:r>
        <w:rPr>
          <w:rStyle w:val="CommentReference"/>
        </w:rPr>
        <w:annotationRef/>
      </w:r>
      <w:r>
        <w:t xml:space="preserve">Reliability: Content </w:t>
      </w:r>
    </w:p>
  </w:comment>
  <w:comment w:id="16" w:author="ASUS" w:date="2021-07-28T18:30:00Z" w:initials="A">
    <w:p w14:paraId="2C732C9F" w14:textId="49C5BD48" w:rsidR="00A2706C" w:rsidRDefault="00A2706C">
      <w:pPr>
        <w:pStyle w:val="CommentText"/>
      </w:pPr>
      <w:r>
        <w:rPr>
          <w:rStyle w:val="CommentReference"/>
        </w:rPr>
        <w:annotationRef/>
      </w:r>
      <w:r>
        <w:t xml:space="preserve">Validity: Content </w:t>
      </w:r>
    </w:p>
  </w:comment>
  <w:comment w:id="17" w:author="ASUS" w:date="2021-07-28T18:27:00Z" w:initials="A">
    <w:p w14:paraId="3CB30405" w14:textId="73194B85" w:rsidR="00A2706C" w:rsidRDefault="00A2706C">
      <w:pPr>
        <w:pStyle w:val="CommentText"/>
      </w:pPr>
      <w:r>
        <w:rPr>
          <w:rStyle w:val="CommentReference"/>
        </w:rPr>
        <w:annotationRef/>
      </w:r>
      <w:r>
        <w:t xml:space="preserve">Validity: Relationship with other measures </w:t>
      </w:r>
    </w:p>
  </w:comment>
  <w:comment w:id="18" w:author="ASUS" w:date="2021-07-28T18:26:00Z" w:initials="A">
    <w:p w14:paraId="5355C4BE" w14:textId="3536A4FD" w:rsidR="00C93177" w:rsidRDefault="00C93177">
      <w:pPr>
        <w:pStyle w:val="CommentText"/>
      </w:pPr>
      <w:r>
        <w:rPr>
          <w:rStyle w:val="CommentReference"/>
        </w:rPr>
        <w:annotationRef/>
      </w:r>
      <w:r>
        <w:t xml:space="preserve">Reliability: Test Re-test </w:t>
      </w:r>
    </w:p>
  </w:comment>
  <w:comment w:id="19" w:author="ASUS" w:date="2021-07-28T18:23:00Z" w:initials="A">
    <w:p w14:paraId="2EC62B64" w14:textId="699B62D4" w:rsidR="00A006BC" w:rsidRDefault="00A006BC">
      <w:pPr>
        <w:pStyle w:val="CommentText"/>
      </w:pPr>
      <w:r>
        <w:rPr>
          <w:rStyle w:val="CommentReference"/>
        </w:rPr>
        <w:annotationRef/>
      </w:r>
      <w:r>
        <w:t xml:space="preserve">Validity: </w:t>
      </w:r>
      <w:r w:rsidR="00485641">
        <w:t xml:space="preserve">internal </w:t>
      </w:r>
      <w:r>
        <w:t xml:space="preserve">Consistency </w:t>
      </w:r>
    </w:p>
  </w:comment>
  <w:comment w:id="20" w:author="ASUS" w:date="2021-07-28T18:45:00Z" w:initials="A">
    <w:p w14:paraId="39D87F17" w14:textId="481233D0" w:rsidR="00C11321" w:rsidRDefault="00C11321">
      <w:pPr>
        <w:pStyle w:val="CommentText"/>
      </w:pPr>
      <w:r>
        <w:rPr>
          <w:rStyle w:val="CommentReference"/>
        </w:rPr>
        <w:annotationRef/>
      </w:r>
      <w:r>
        <w:t xml:space="preserve">Validity: test retest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0C8946" w15:done="0"/>
  <w15:commentEx w15:paraId="18C96548" w15:done="0"/>
  <w15:commentEx w15:paraId="013F4B42" w15:done="0"/>
  <w15:commentEx w15:paraId="433274DD" w15:done="0"/>
  <w15:commentEx w15:paraId="374673FF" w15:done="0"/>
  <w15:commentEx w15:paraId="132A6DD9" w15:done="0"/>
  <w15:commentEx w15:paraId="2076961F" w15:done="0"/>
  <w15:commentEx w15:paraId="6531316C" w15:done="0"/>
  <w15:commentEx w15:paraId="15ACC786" w15:done="0"/>
  <w15:commentEx w15:paraId="0FC397BA" w15:done="0"/>
  <w15:commentEx w15:paraId="0F7B9449" w15:done="0"/>
  <w15:commentEx w15:paraId="6D18523C" w15:done="0"/>
  <w15:commentEx w15:paraId="25F40DAC" w15:done="0"/>
  <w15:commentEx w15:paraId="0893B738" w15:done="0"/>
  <w15:commentEx w15:paraId="315E1B84" w15:done="0"/>
  <w15:commentEx w15:paraId="20EFA069" w15:done="0"/>
  <w15:commentEx w15:paraId="2C732C9F" w15:done="0"/>
  <w15:commentEx w15:paraId="3CB30405" w15:done="0"/>
  <w15:commentEx w15:paraId="5355C4BE" w15:done="0"/>
  <w15:commentEx w15:paraId="2EC62B64" w15:done="0"/>
  <w15:commentEx w15:paraId="39D87F1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A4"/>
    <w:rsid w:val="002C59F1"/>
    <w:rsid w:val="00452F76"/>
    <w:rsid w:val="00485641"/>
    <w:rsid w:val="005324D7"/>
    <w:rsid w:val="0058220E"/>
    <w:rsid w:val="0070208F"/>
    <w:rsid w:val="00805DA2"/>
    <w:rsid w:val="00877798"/>
    <w:rsid w:val="008E11FE"/>
    <w:rsid w:val="009B2A0F"/>
    <w:rsid w:val="009F7031"/>
    <w:rsid w:val="00A006BC"/>
    <w:rsid w:val="00A2706C"/>
    <w:rsid w:val="00B200D4"/>
    <w:rsid w:val="00B400BC"/>
    <w:rsid w:val="00B81767"/>
    <w:rsid w:val="00BE0DA4"/>
    <w:rsid w:val="00BF3946"/>
    <w:rsid w:val="00C11321"/>
    <w:rsid w:val="00C93177"/>
    <w:rsid w:val="00D42ECD"/>
    <w:rsid w:val="00E47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B79F1"/>
  <w15:docId w15:val="{6514536D-911F-449C-B8D2-F4DD31DC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59F1"/>
    <w:rPr>
      <w:sz w:val="16"/>
      <w:szCs w:val="16"/>
    </w:rPr>
  </w:style>
  <w:style w:type="paragraph" w:styleId="CommentText">
    <w:name w:val="annotation text"/>
    <w:basedOn w:val="Normal"/>
    <w:link w:val="CommentTextChar"/>
    <w:uiPriority w:val="99"/>
    <w:semiHidden/>
    <w:unhideWhenUsed/>
    <w:rsid w:val="002C59F1"/>
    <w:pPr>
      <w:spacing w:line="240" w:lineRule="auto"/>
    </w:pPr>
    <w:rPr>
      <w:sz w:val="20"/>
      <w:szCs w:val="20"/>
    </w:rPr>
  </w:style>
  <w:style w:type="character" w:customStyle="1" w:styleId="CommentTextChar">
    <w:name w:val="Comment Text Char"/>
    <w:basedOn w:val="DefaultParagraphFont"/>
    <w:link w:val="CommentText"/>
    <w:uiPriority w:val="99"/>
    <w:semiHidden/>
    <w:rsid w:val="002C59F1"/>
    <w:rPr>
      <w:sz w:val="20"/>
      <w:szCs w:val="20"/>
    </w:rPr>
  </w:style>
  <w:style w:type="paragraph" w:styleId="CommentSubject">
    <w:name w:val="annotation subject"/>
    <w:basedOn w:val="CommentText"/>
    <w:next w:val="CommentText"/>
    <w:link w:val="CommentSubjectChar"/>
    <w:uiPriority w:val="99"/>
    <w:semiHidden/>
    <w:unhideWhenUsed/>
    <w:rsid w:val="002C59F1"/>
    <w:rPr>
      <w:b/>
      <w:bCs/>
    </w:rPr>
  </w:style>
  <w:style w:type="character" w:customStyle="1" w:styleId="CommentSubjectChar">
    <w:name w:val="Comment Subject Char"/>
    <w:basedOn w:val="CommentTextChar"/>
    <w:link w:val="CommentSubject"/>
    <w:uiPriority w:val="99"/>
    <w:semiHidden/>
    <w:rsid w:val="002C59F1"/>
    <w:rPr>
      <w:b/>
      <w:bCs/>
      <w:sz w:val="20"/>
      <w:szCs w:val="20"/>
    </w:rPr>
  </w:style>
  <w:style w:type="paragraph" w:styleId="BalloonText">
    <w:name w:val="Balloon Text"/>
    <w:basedOn w:val="Normal"/>
    <w:link w:val="BalloonTextChar"/>
    <w:uiPriority w:val="99"/>
    <w:semiHidden/>
    <w:unhideWhenUsed/>
    <w:rsid w:val="002C5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9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CocoaOOXMLWriter/1671.6</generator>
</meta>
</file>

<file path=customXml/itemProps1.xml><?xml version="1.0" encoding="utf-8"?>
<ds:datastoreItem xmlns:ds="http://schemas.openxmlformats.org/officeDocument/2006/customXml" ds:itemID="{6EC3D3E8-0136-47A9-923C-E0CA3E546235}">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7184</Words>
  <Characters>40951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ASUS</cp:lastModifiedBy>
  <cp:revision>2</cp:revision>
  <dcterms:created xsi:type="dcterms:W3CDTF">2021-07-28T15:47:00Z</dcterms:created>
  <dcterms:modified xsi:type="dcterms:W3CDTF">2021-07-28T15:47:00Z</dcterms:modified>
</cp:coreProperties>
</file>